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8F07D" w14:textId="2A450ACD" w:rsidR="00661E29" w:rsidRPr="00333CAF" w:rsidRDefault="009D2B27" w:rsidP="00661E29">
      <w:pPr>
        <w:spacing w:line="360" w:lineRule="auto"/>
        <w:jc w:val="center"/>
        <w:rPr>
          <w:rFonts w:ascii="Century Schoolbook" w:hAnsi="Century Schoolbook"/>
          <w:lang w:val="en-GB"/>
        </w:rPr>
      </w:pPr>
      <w:r w:rsidRPr="00333CAF"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7927EB4C" wp14:editId="275213EB">
            <wp:simplePos x="0" y="0"/>
            <wp:positionH relativeFrom="margin">
              <wp:align>center</wp:align>
            </wp:positionH>
            <wp:positionV relativeFrom="paragraph">
              <wp:posOffset>-545660</wp:posOffset>
            </wp:positionV>
            <wp:extent cx="1055879" cy="1083123"/>
            <wp:effectExtent l="0" t="0" r="0" b="317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879" cy="108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3CAF">
        <w:rPr>
          <w:rFonts w:ascii="Century Schoolbook" w:hAnsi="Century Schoolbook"/>
          <w:lang w:val="en-GB"/>
        </w:rPr>
        <w:t>Carola Chiusi</w:t>
      </w:r>
      <w:r w:rsidRPr="00333CAF">
        <w:rPr>
          <w:rFonts w:ascii="Century Schoolbook" w:hAnsi="Century Schoolbook"/>
          <w:lang w:val="en-GB"/>
        </w:rPr>
        <w:tab/>
      </w:r>
      <w:r w:rsidRPr="00333CAF">
        <w:rPr>
          <w:rFonts w:ascii="Century Schoolbook" w:hAnsi="Century Schoolbook"/>
          <w:lang w:val="en-GB"/>
        </w:rPr>
        <w:tab/>
      </w:r>
      <w:r w:rsidRPr="00333CAF">
        <w:rPr>
          <w:rFonts w:ascii="Century Schoolbook" w:hAnsi="Century Schoolbook"/>
          <w:lang w:val="en-GB"/>
        </w:rPr>
        <w:tab/>
      </w:r>
      <w:r w:rsidRPr="00333CAF">
        <w:rPr>
          <w:rFonts w:ascii="Century Schoolbook" w:hAnsi="Century Schoolbook"/>
          <w:lang w:val="en-GB"/>
        </w:rPr>
        <w:tab/>
      </w:r>
      <w:r w:rsidRPr="00333CAF">
        <w:rPr>
          <w:rFonts w:ascii="Century Schoolbook" w:hAnsi="Century Schoolbook"/>
          <w:lang w:val="en-GB"/>
        </w:rPr>
        <w:tab/>
      </w:r>
      <w:r w:rsidRPr="00333CAF">
        <w:rPr>
          <w:rFonts w:ascii="Century Schoolbook" w:hAnsi="Century Schoolbook"/>
          <w:lang w:val="en-GB"/>
        </w:rPr>
        <w:tab/>
      </w:r>
      <w:r w:rsidRPr="00333CAF">
        <w:rPr>
          <w:rFonts w:ascii="Century Schoolbook" w:hAnsi="Century Schoolbook"/>
          <w:lang w:val="en-GB"/>
        </w:rPr>
        <w:tab/>
      </w:r>
      <w:r w:rsidRPr="00333CAF">
        <w:rPr>
          <w:rFonts w:ascii="Century Schoolbook" w:hAnsi="Century Schoolbook"/>
          <w:lang w:val="en-GB"/>
        </w:rPr>
        <w:tab/>
      </w:r>
      <w:r w:rsidRPr="00333CAF">
        <w:rPr>
          <w:rFonts w:ascii="Century Schoolbook" w:hAnsi="Century Schoolbook"/>
          <w:lang w:val="en-GB"/>
        </w:rPr>
        <w:tab/>
        <w:t>Cultural Diplomacy</w:t>
      </w:r>
    </w:p>
    <w:p w14:paraId="743352EF" w14:textId="77777777" w:rsidR="00661E29" w:rsidRPr="00333CAF" w:rsidRDefault="00661E29" w:rsidP="00661E29">
      <w:pPr>
        <w:spacing w:line="360" w:lineRule="auto"/>
        <w:jc w:val="center"/>
        <w:rPr>
          <w:rFonts w:ascii="Century Schoolbook" w:hAnsi="Century Schoolbook"/>
          <w:b/>
          <w:bCs/>
          <w:lang w:val="en-GB"/>
        </w:rPr>
      </w:pPr>
    </w:p>
    <w:p w14:paraId="35BC160B" w14:textId="153A2F3F" w:rsidR="00661E29" w:rsidRPr="00333CAF" w:rsidRDefault="00661E29" w:rsidP="00661E29">
      <w:pPr>
        <w:spacing w:line="360" w:lineRule="auto"/>
        <w:jc w:val="center"/>
        <w:rPr>
          <w:rFonts w:ascii="Century Schoolbook" w:hAnsi="Century Schoolbook"/>
          <w:b/>
          <w:bCs/>
          <w:lang w:val="en-GB"/>
        </w:rPr>
      </w:pPr>
      <w:r w:rsidRPr="00333CAF">
        <w:rPr>
          <w:rFonts w:ascii="Century Schoolbook" w:hAnsi="Century Schoolbook"/>
          <w:b/>
          <w:bCs/>
          <w:lang w:val="en-GB"/>
        </w:rPr>
        <w:t>REPORT</w:t>
      </w:r>
    </w:p>
    <w:p w14:paraId="7DBC0F3D" w14:textId="697F6903" w:rsidR="009D2B27" w:rsidRPr="00333CAF" w:rsidRDefault="009D2B27" w:rsidP="00661E29">
      <w:pPr>
        <w:spacing w:line="360" w:lineRule="auto"/>
        <w:jc w:val="center"/>
        <w:rPr>
          <w:rFonts w:ascii="Century Schoolbook" w:hAnsi="Century Schoolbook"/>
          <w:b/>
          <w:bCs/>
          <w:lang w:val="en-GB"/>
        </w:rPr>
      </w:pPr>
      <w:r w:rsidRPr="00333CAF">
        <w:rPr>
          <w:rFonts w:ascii="Century Schoolbook" w:hAnsi="Century Schoolbook"/>
          <w:b/>
          <w:bCs/>
          <w:lang w:val="en-GB"/>
        </w:rPr>
        <w:t>Living in Diversity – Euro-Mediterranean Intercultural Trends</w:t>
      </w:r>
      <w:r w:rsidR="00661E29" w:rsidRPr="00333CAF">
        <w:rPr>
          <w:rFonts w:ascii="Century Schoolbook" w:hAnsi="Century Schoolbook"/>
          <w:b/>
          <w:bCs/>
          <w:lang w:val="en-GB"/>
        </w:rPr>
        <w:t xml:space="preserve"> (module 4)</w:t>
      </w:r>
    </w:p>
    <w:p w14:paraId="00A582A7" w14:textId="3B32222B" w:rsidR="009D2B27" w:rsidRDefault="00333CAF" w:rsidP="00BE1D0F">
      <w:pPr>
        <w:spacing w:line="360" w:lineRule="auto"/>
        <w:jc w:val="both"/>
        <w:rPr>
          <w:rFonts w:ascii="Century Schoolbook" w:hAnsi="Century Schoolbook"/>
          <w:lang w:val="en-GB"/>
        </w:rPr>
      </w:pPr>
      <w:r>
        <w:rPr>
          <w:rFonts w:ascii="Century Schoolbook" w:hAnsi="Century Schoolbook"/>
          <w:lang w:val="en-GB"/>
        </w:rPr>
        <w:t xml:space="preserve">The fourth </w:t>
      </w:r>
      <w:r w:rsidR="00BE1D0F">
        <w:rPr>
          <w:rFonts w:ascii="Century Schoolbook" w:hAnsi="Century Schoolbook"/>
          <w:lang w:val="en-GB"/>
        </w:rPr>
        <w:t>part</w:t>
      </w:r>
      <w:r w:rsidR="009D2B27" w:rsidRPr="00333CAF">
        <w:rPr>
          <w:rFonts w:ascii="Century Schoolbook" w:hAnsi="Century Schoolbook"/>
          <w:lang w:val="en-GB"/>
        </w:rPr>
        <w:t xml:space="preserve"> </w:t>
      </w:r>
      <w:r>
        <w:rPr>
          <w:rFonts w:ascii="Century Schoolbook" w:hAnsi="Century Schoolbook"/>
          <w:lang w:val="en-GB"/>
        </w:rPr>
        <w:t xml:space="preserve">of the </w:t>
      </w:r>
      <w:r w:rsidRPr="00333CAF">
        <w:rPr>
          <w:rFonts w:ascii="Century Schoolbook" w:hAnsi="Century Schoolbook"/>
          <w:lang w:val="en-GB"/>
        </w:rPr>
        <w:t>Euro-Mediterranean Intercultural Trends</w:t>
      </w:r>
      <w:r>
        <w:rPr>
          <w:rFonts w:ascii="Century Schoolbook" w:hAnsi="Century Schoolbook"/>
          <w:lang w:val="en-GB"/>
        </w:rPr>
        <w:t xml:space="preserve"> online course</w:t>
      </w:r>
      <w:r w:rsidR="009025DF">
        <w:rPr>
          <w:rFonts w:ascii="Century Schoolbook" w:hAnsi="Century Schoolbook"/>
          <w:lang w:val="en-GB"/>
        </w:rPr>
        <w:t>,</w:t>
      </w:r>
      <w:r>
        <w:rPr>
          <w:rFonts w:ascii="Century Schoolbook" w:hAnsi="Century Schoolbook"/>
          <w:lang w:val="en-GB"/>
        </w:rPr>
        <w:t xml:space="preserve"> title</w:t>
      </w:r>
      <w:r w:rsidR="009025DF">
        <w:rPr>
          <w:rFonts w:ascii="Century Schoolbook" w:hAnsi="Century Schoolbook"/>
          <w:lang w:val="en-GB"/>
        </w:rPr>
        <w:t>d</w:t>
      </w:r>
      <w:r>
        <w:rPr>
          <w:rFonts w:ascii="Century Schoolbook" w:hAnsi="Century Schoolbook"/>
          <w:lang w:val="en-GB"/>
        </w:rPr>
        <w:t xml:space="preserve"> “</w:t>
      </w:r>
      <w:r w:rsidR="009D2B27" w:rsidRPr="00333CAF">
        <w:rPr>
          <w:rFonts w:ascii="Century Schoolbook" w:hAnsi="Century Schoolbook"/>
          <w:lang w:val="en-GB"/>
        </w:rPr>
        <w:t>Living in Diversity</w:t>
      </w:r>
      <w:r>
        <w:rPr>
          <w:rFonts w:ascii="Century Schoolbook" w:hAnsi="Century Schoolbook"/>
          <w:lang w:val="en-GB"/>
        </w:rPr>
        <w:t>”</w:t>
      </w:r>
      <w:r w:rsidR="009025DF">
        <w:rPr>
          <w:rFonts w:ascii="Century Schoolbook" w:hAnsi="Century Schoolbook"/>
          <w:lang w:val="en-GB"/>
        </w:rPr>
        <w:t xml:space="preserve">, </w:t>
      </w:r>
      <w:r w:rsidR="0065184F">
        <w:rPr>
          <w:rFonts w:ascii="Century Schoolbook" w:hAnsi="Century Schoolbook"/>
          <w:lang w:val="en-GB"/>
        </w:rPr>
        <w:t>focuse</w:t>
      </w:r>
      <w:r w:rsidR="00EA6717">
        <w:rPr>
          <w:rFonts w:ascii="Century Schoolbook" w:hAnsi="Century Schoolbook"/>
          <w:lang w:val="en-GB"/>
        </w:rPr>
        <w:t>s</w:t>
      </w:r>
      <w:r w:rsidR="0065184F">
        <w:rPr>
          <w:rFonts w:ascii="Century Schoolbook" w:hAnsi="Century Schoolbook"/>
          <w:lang w:val="en-GB"/>
        </w:rPr>
        <w:t xml:space="preserve"> on </w:t>
      </w:r>
      <w:r>
        <w:rPr>
          <w:rFonts w:ascii="Century Schoolbook" w:hAnsi="Century Schoolbook"/>
          <w:lang w:val="en-GB"/>
        </w:rPr>
        <w:t xml:space="preserve">the influence </w:t>
      </w:r>
      <w:r w:rsidR="00BE1D0F">
        <w:rPr>
          <w:rFonts w:ascii="Century Schoolbook" w:hAnsi="Century Schoolbook"/>
          <w:lang w:val="en-GB"/>
        </w:rPr>
        <w:t xml:space="preserve">of religion on </w:t>
      </w:r>
      <w:r w:rsidR="0065184F">
        <w:rPr>
          <w:rFonts w:ascii="Century Schoolbook" w:hAnsi="Century Schoolbook"/>
          <w:lang w:val="en-GB"/>
        </w:rPr>
        <w:t>people’s</w:t>
      </w:r>
      <w:r w:rsidR="00BE1D0F">
        <w:rPr>
          <w:rFonts w:ascii="Century Schoolbook" w:hAnsi="Century Schoolbook"/>
          <w:lang w:val="en-GB"/>
        </w:rPr>
        <w:t xml:space="preserve"> opinions</w:t>
      </w:r>
      <w:r w:rsidR="0065184F">
        <w:rPr>
          <w:rFonts w:ascii="Century Schoolbook" w:hAnsi="Century Schoolbook"/>
          <w:lang w:val="en-GB"/>
        </w:rPr>
        <w:t>, the level of</w:t>
      </w:r>
      <w:r w:rsidR="00BE1D0F">
        <w:rPr>
          <w:rFonts w:ascii="Century Schoolbook" w:hAnsi="Century Schoolbook"/>
          <w:lang w:val="en-GB"/>
        </w:rPr>
        <w:t xml:space="preserve"> tolerance for </w:t>
      </w:r>
      <w:r w:rsidR="009025DF">
        <w:rPr>
          <w:rFonts w:ascii="Century Schoolbook" w:hAnsi="Century Schoolbook"/>
          <w:lang w:val="en-GB"/>
        </w:rPr>
        <w:t>who</w:t>
      </w:r>
      <w:r w:rsidR="00BE1D0F">
        <w:rPr>
          <w:rFonts w:ascii="Century Schoolbook" w:hAnsi="Century Schoolbook"/>
          <w:lang w:val="en-GB"/>
        </w:rPr>
        <w:t xml:space="preserve"> com</w:t>
      </w:r>
      <w:r w:rsidR="009025DF">
        <w:rPr>
          <w:rFonts w:ascii="Century Schoolbook" w:hAnsi="Century Schoolbook"/>
          <w:lang w:val="en-GB"/>
        </w:rPr>
        <w:t>es</w:t>
      </w:r>
      <w:r w:rsidR="00BE1D0F">
        <w:rPr>
          <w:rFonts w:ascii="Century Schoolbook" w:hAnsi="Century Schoolbook"/>
          <w:lang w:val="en-GB"/>
        </w:rPr>
        <w:t xml:space="preserve"> from different backgrounds</w:t>
      </w:r>
      <w:r w:rsidR="0065184F">
        <w:rPr>
          <w:rFonts w:ascii="Century Schoolbook" w:hAnsi="Century Schoolbook"/>
          <w:lang w:val="en-GB"/>
        </w:rPr>
        <w:t xml:space="preserve">, the issue of </w:t>
      </w:r>
      <w:r w:rsidR="00BE1D0F">
        <w:rPr>
          <w:rFonts w:ascii="Century Schoolbook" w:hAnsi="Century Schoolbook"/>
          <w:lang w:val="en-GB"/>
        </w:rPr>
        <w:t xml:space="preserve">radicalization </w:t>
      </w:r>
      <w:r w:rsidR="0065184F">
        <w:rPr>
          <w:rFonts w:ascii="Century Schoolbook" w:hAnsi="Century Schoolbook"/>
          <w:lang w:val="en-GB"/>
        </w:rPr>
        <w:t>and the challenges of living</w:t>
      </w:r>
      <w:r w:rsidR="00BE1D0F">
        <w:rPr>
          <w:rFonts w:ascii="Century Schoolbook" w:hAnsi="Century Schoolbook"/>
          <w:lang w:val="en-GB"/>
        </w:rPr>
        <w:t xml:space="preserve"> in multicultural </w:t>
      </w:r>
      <w:r w:rsidR="009025DF">
        <w:rPr>
          <w:rFonts w:ascii="Century Schoolbook" w:hAnsi="Century Schoolbook"/>
          <w:lang w:val="en-GB"/>
        </w:rPr>
        <w:t>settings</w:t>
      </w:r>
      <w:r w:rsidR="0065184F">
        <w:rPr>
          <w:rFonts w:ascii="Century Schoolbook" w:hAnsi="Century Schoolbook"/>
          <w:lang w:val="en-GB"/>
        </w:rPr>
        <w:t xml:space="preserve">. These </w:t>
      </w:r>
      <w:r w:rsidR="00AE636A">
        <w:rPr>
          <w:rFonts w:ascii="Century Schoolbook" w:hAnsi="Century Schoolbook"/>
          <w:lang w:val="en-GB"/>
        </w:rPr>
        <w:t>themes</w:t>
      </w:r>
      <w:r w:rsidR="0065184F">
        <w:rPr>
          <w:rFonts w:ascii="Century Schoolbook" w:hAnsi="Century Schoolbook"/>
          <w:lang w:val="en-GB"/>
        </w:rPr>
        <w:t xml:space="preserve"> </w:t>
      </w:r>
      <w:r w:rsidR="00EA6717">
        <w:rPr>
          <w:rFonts w:ascii="Century Schoolbook" w:hAnsi="Century Schoolbook"/>
          <w:lang w:val="en-GB"/>
        </w:rPr>
        <w:t>are</w:t>
      </w:r>
      <w:r w:rsidR="0065184F">
        <w:rPr>
          <w:rFonts w:ascii="Century Schoolbook" w:hAnsi="Century Schoolbook"/>
          <w:lang w:val="en-GB"/>
        </w:rPr>
        <w:t xml:space="preserve"> analysed in t</w:t>
      </w:r>
      <w:r w:rsidR="00BE1D0F">
        <w:rPr>
          <w:rFonts w:ascii="Century Schoolbook" w:hAnsi="Century Schoolbook"/>
          <w:lang w:val="en-GB"/>
        </w:rPr>
        <w:t xml:space="preserve">he four units </w:t>
      </w:r>
      <w:r w:rsidR="0065184F">
        <w:rPr>
          <w:rFonts w:ascii="Century Schoolbook" w:hAnsi="Century Schoolbook"/>
          <w:lang w:val="en-GB"/>
        </w:rPr>
        <w:t>using</w:t>
      </w:r>
      <w:r w:rsidR="00BE1D0F">
        <w:rPr>
          <w:rFonts w:ascii="Century Schoolbook" w:hAnsi="Century Schoolbook"/>
          <w:lang w:val="en-GB"/>
        </w:rPr>
        <w:t xml:space="preserve"> data from the </w:t>
      </w:r>
      <w:r w:rsidR="00BE1D0F" w:rsidRPr="00BE1D0F">
        <w:rPr>
          <w:rFonts w:ascii="Century Schoolbook" w:hAnsi="Century Schoolbook"/>
          <w:lang w:val="en-GB"/>
        </w:rPr>
        <w:t>Anna Lindh/Ipsos intercultural</w:t>
      </w:r>
      <w:r w:rsidR="0065184F">
        <w:rPr>
          <w:rFonts w:ascii="Century Schoolbook" w:hAnsi="Century Schoolbook"/>
          <w:lang w:val="en-GB"/>
        </w:rPr>
        <w:t xml:space="preserve"> </w:t>
      </w:r>
      <w:r w:rsidR="00BE1D0F" w:rsidRPr="00BE1D0F">
        <w:rPr>
          <w:rFonts w:ascii="Century Schoolbook" w:hAnsi="Century Schoolbook"/>
          <w:lang w:val="en-GB"/>
        </w:rPr>
        <w:t>Trends Survey</w:t>
      </w:r>
      <w:r w:rsidR="0065184F">
        <w:rPr>
          <w:rFonts w:ascii="Century Schoolbook" w:hAnsi="Century Schoolbook"/>
          <w:lang w:val="en-GB"/>
        </w:rPr>
        <w:t>, presented through videos and experts’ contribution</w:t>
      </w:r>
      <w:r w:rsidR="003E3D2A">
        <w:rPr>
          <w:rFonts w:ascii="Century Schoolbook" w:hAnsi="Century Schoolbook"/>
          <w:lang w:val="en-GB"/>
        </w:rPr>
        <w:t>s</w:t>
      </w:r>
      <w:r w:rsidR="0065184F">
        <w:rPr>
          <w:rFonts w:ascii="Century Schoolbook" w:hAnsi="Century Schoolbook"/>
          <w:lang w:val="en-GB"/>
        </w:rPr>
        <w:t xml:space="preserve">. </w:t>
      </w:r>
    </w:p>
    <w:p w14:paraId="078FAB36" w14:textId="483D0A6D" w:rsidR="001D687F" w:rsidRDefault="00C56910" w:rsidP="00EF4C58">
      <w:pPr>
        <w:spacing w:line="360" w:lineRule="auto"/>
        <w:jc w:val="both"/>
        <w:rPr>
          <w:rFonts w:ascii="Century Schoolbook" w:hAnsi="Century Schoolbook"/>
          <w:lang w:val="en-GB"/>
        </w:rPr>
      </w:pPr>
      <w:r>
        <w:rPr>
          <w:rFonts w:ascii="Century Schoolbook" w:hAnsi="Century Schoolbook"/>
          <w:lang w:val="en-GB"/>
        </w:rPr>
        <w:t xml:space="preserve">The first topic </w:t>
      </w:r>
      <w:r w:rsidR="009025DF">
        <w:rPr>
          <w:rFonts w:ascii="Century Schoolbook" w:hAnsi="Century Schoolbook"/>
          <w:lang w:val="en-GB"/>
        </w:rPr>
        <w:t>examined</w:t>
      </w:r>
      <w:r>
        <w:rPr>
          <w:rFonts w:ascii="Century Schoolbook" w:hAnsi="Century Schoolbook"/>
          <w:lang w:val="en-GB"/>
        </w:rPr>
        <w:t xml:space="preserve"> </w:t>
      </w:r>
      <w:r w:rsidR="00EA6717">
        <w:rPr>
          <w:rFonts w:ascii="Century Schoolbook" w:hAnsi="Century Schoolbook"/>
          <w:lang w:val="en-GB"/>
        </w:rPr>
        <w:t>is</w:t>
      </w:r>
      <w:r>
        <w:rPr>
          <w:rFonts w:ascii="Century Schoolbook" w:hAnsi="Century Schoolbook"/>
          <w:lang w:val="en-GB"/>
        </w:rPr>
        <w:t xml:space="preserve"> the relation</w:t>
      </w:r>
      <w:r w:rsidR="00EF4C58" w:rsidRPr="00333CAF">
        <w:rPr>
          <w:rFonts w:ascii="Century Schoolbook" w:hAnsi="Century Schoolbook"/>
          <w:lang w:val="en-GB"/>
        </w:rPr>
        <w:t xml:space="preserve"> between religiosity and openness to intercultural relations.</w:t>
      </w:r>
      <w:r w:rsidR="009025DF">
        <w:rPr>
          <w:rFonts w:ascii="Century Schoolbook" w:hAnsi="Century Schoolbook"/>
          <w:lang w:val="en-GB"/>
        </w:rPr>
        <w:t xml:space="preserve"> </w:t>
      </w:r>
      <w:r w:rsidR="00AE636A">
        <w:rPr>
          <w:rFonts w:ascii="Century Schoolbook" w:hAnsi="Century Schoolbook"/>
          <w:lang w:val="en-GB"/>
        </w:rPr>
        <w:t>In order to understand such connection, it is crucial</w:t>
      </w:r>
      <w:r w:rsidR="00D7237E">
        <w:rPr>
          <w:rFonts w:ascii="Century Schoolbook" w:hAnsi="Century Schoolbook"/>
          <w:lang w:val="en-GB"/>
        </w:rPr>
        <w:t xml:space="preserve"> to </w:t>
      </w:r>
      <w:r w:rsidR="009025DF">
        <w:rPr>
          <w:rFonts w:ascii="Century Schoolbook" w:hAnsi="Century Schoolbook"/>
          <w:lang w:val="en-GB"/>
        </w:rPr>
        <w:t>consider</w:t>
      </w:r>
      <w:r w:rsidR="00D7237E">
        <w:rPr>
          <w:rFonts w:ascii="Century Schoolbook" w:hAnsi="Century Schoolbook"/>
          <w:lang w:val="en-GB"/>
        </w:rPr>
        <w:t xml:space="preserve"> </w:t>
      </w:r>
      <w:r w:rsidR="0065184F">
        <w:rPr>
          <w:rFonts w:ascii="Century Schoolbook" w:hAnsi="Century Schoolbook"/>
          <w:lang w:val="en-GB"/>
        </w:rPr>
        <w:t>that t</w:t>
      </w:r>
      <w:r w:rsidR="00EF4C58" w:rsidRPr="00333CAF">
        <w:rPr>
          <w:rFonts w:ascii="Century Schoolbook" w:hAnsi="Century Schoolbook"/>
          <w:lang w:val="en-GB"/>
        </w:rPr>
        <w:t>he degree of religiosity variates a lot on the two shores of the Mediterranean</w:t>
      </w:r>
      <w:r w:rsidR="0065184F">
        <w:rPr>
          <w:rFonts w:ascii="Century Schoolbook" w:hAnsi="Century Schoolbook"/>
          <w:lang w:val="en-GB"/>
        </w:rPr>
        <w:t xml:space="preserve">: </w:t>
      </w:r>
      <w:r w:rsidR="0065184F" w:rsidRPr="0065184F">
        <w:rPr>
          <w:rFonts w:ascii="Century Schoolbook" w:hAnsi="Century Schoolbook"/>
          <w:lang w:val="en-GB"/>
        </w:rPr>
        <w:t xml:space="preserve">23% </w:t>
      </w:r>
      <w:r w:rsidR="0065184F">
        <w:rPr>
          <w:rFonts w:ascii="Century Schoolbook" w:hAnsi="Century Schoolbook"/>
          <w:lang w:val="en-GB"/>
        </w:rPr>
        <w:t>of the respondents in Europe and 34% of the ones in Southern and Eastern Mediterranean (hereinafter SEM)</w:t>
      </w:r>
      <w:r w:rsidR="0065184F" w:rsidRPr="0065184F">
        <w:rPr>
          <w:rFonts w:ascii="Century Schoolbook" w:hAnsi="Century Schoolbook"/>
          <w:lang w:val="en-GB"/>
        </w:rPr>
        <w:t xml:space="preserve"> countries </w:t>
      </w:r>
      <w:r w:rsidR="00EA6717">
        <w:rPr>
          <w:rFonts w:ascii="Century Schoolbook" w:hAnsi="Century Schoolbook"/>
          <w:lang w:val="en-GB"/>
        </w:rPr>
        <w:t>are</w:t>
      </w:r>
      <w:r w:rsidR="0065184F">
        <w:rPr>
          <w:rFonts w:ascii="Century Schoolbook" w:hAnsi="Century Schoolbook"/>
          <w:lang w:val="en-GB"/>
        </w:rPr>
        <w:t xml:space="preserve"> very religious; while not religious people </w:t>
      </w:r>
      <w:r w:rsidR="00D7237E">
        <w:rPr>
          <w:rFonts w:ascii="Century Schoolbook" w:hAnsi="Century Schoolbook"/>
          <w:lang w:val="en-GB"/>
        </w:rPr>
        <w:t>represent</w:t>
      </w:r>
      <w:r w:rsidR="0065184F">
        <w:rPr>
          <w:rFonts w:ascii="Century Schoolbook" w:hAnsi="Century Schoolbook"/>
          <w:lang w:val="en-GB"/>
        </w:rPr>
        <w:t xml:space="preserve"> </w:t>
      </w:r>
      <w:r w:rsidR="0065184F" w:rsidRPr="0065184F">
        <w:rPr>
          <w:rFonts w:ascii="Century Schoolbook" w:hAnsi="Century Schoolbook"/>
          <w:lang w:val="en-GB"/>
        </w:rPr>
        <w:t>30%</w:t>
      </w:r>
      <w:r w:rsidR="0065184F">
        <w:rPr>
          <w:rFonts w:ascii="Century Schoolbook" w:hAnsi="Century Schoolbook"/>
          <w:lang w:val="en-GB"/>
        </w:rPr>
        <w:t xml:space="preserve"> of Europeans, but</w:t>
      </w:r>
      <w:r w:rsidR="0065184F" w:rsidRPr="0065184F">
        <w:rPr>
          <w:rFonts w:ascii="Century Schoolbook" w:hAnsi="Century Schoolbook"/>
          <w:lang w:val="en-GB"/>
        </w:rPr>
        <w:t xml:space="preserve"> </w:t>
      </w:r>
      <w:r w:rsidR="0065184F">
        <w:rPr>
          <w:rFonts w:ascii="Century Schoolbook" w:hAnsi="Century Schoolbook"/>
          <w:lang w:val="en-GB"/>
        </w:rPr>
        <w:t xml:space="preserve">only </w:t>
      </w:r>
      <w:r w:rsidR="0065184F" w:rsidRPr="0065184F">
        <w:rPr>
          <w:rFonts w:ascii="Century Schoolbook" w:hAnsi="Century Schoolbook"/>
          <w:lang w:val="en-GB"/>
        </w:rPr>
        <w:t>5%</w:t>
      </w:r>
      <w:r w:rsidR="0065184F">
        <w:rPr>
          <w:rFonts w:ascii="Century Schoolbook" w:hAnsi="Century Schoolbook"/>
          <w:lang w:val="en-GB"/>
        </w:rPr>
        <w:t xml:space="preserve"> of SEM </w:t>
      </w:r>
      <w:r w:rsidR="009025DF">
        <w:rPr>
          <w:rFonts w:ascii="Century Schoolbook" w:hAnsi="Century Schoolbook"/>
          <w:lang w:val="en-GB"/>
        </w:rPr>
        <w:t>people</w:t>
      </w:r>
      <w:r w:rsidR="0065184F">
        <w:rPr>
          <w:rFonts w:ascii="Century Schoolbook" w:hAnsi="Century Schoolbook"/>
          <w:lang w:val="en-GB"/>
        </w:rPr>
        <w:t>.</w:t>
      </w:r>
      <w:r w:rsidR="00AE636A">
        <w:rPr>
          <w:rFonts w:ascii="Century Schoolbook" w:hAnsi="Century Schoolbook"/>
          <w:lang w:val="en-GB"/>
        </w:rPr>
        <w:t xml:space="preserve"> However, these data alone are not enough to explain how the level of openness variates in different states. </w:t>
      </w:r>
      <w:r w:rsidR="001D687F">
        <w:rPr>
          <w:rFonts w:ascii="Century Schoolbook" w:hAnsi="Century Schoolbook"/>
          <w:lang w:val="en-GB"/>
        </w:rPr>
        <w:t xml:space="preserve">For instance, a comparison can be drawn between the data presented by </w:t>
      </w:r>
      <w:r w:rsidR="001D687F" w:rsidRPr="001D687F">
        <w:rPr>
          <w:rFonts w:ascii="Century Schoolbook" w:hAnsi="Century Schoolbook"/>
          <w:lang w:val="en-GB"/>
        </w:rPr>
        <w:t>Robertson-</w:t>
      </w:r>
      <w:r w:rsidR="001D687F">
        <w:rPr>
          <w:rFonts w:ascii="Century Schoolbook" w:hAnsi="Century Schoolbook"/>
          <w:lang w:val="en-GB"/>
        </w:rPr>
        <w:t>v</w:t>
      </w:r>
      <w:r w:rsidR="001D687F" w:rsidRPr="001D687F">
        <w:rPr>
          <w:rFonts w:ascii="Century Schoolbook" w:hAnsi="Century Schoolbook"/>
          <w:lang w:val="en-GB"/>
        </w:rPr>
        <w:t>on Trotha</w:t>
      </w:r>
      <w:r w:rsidR="001D687F">
        <w:rPr>
          <w:rFonts w:ascii="Century Schoolbook" w:hAnsi="Century Schoolbook"/>
          <w:lang w:val="en-GB"/>
        </w:rPr>
        <w:t xml:space="preserve"> (2014, 73-76) and </w:t>
      </w:r>
      <w:r w:rsidR="001D687F" w:rsidRPr="001D687F">
        <w:rPr>
          <w:rFonts w:ascii="Century Schoolbook" w:hAnsi="Century Schoolbook"/>
          <w:lang w:val="en-GB"/>
        </w:rPr>
        <w:t xml:space="preserve">Boufrikha </w:t>
      </w:r>
      <w:r w:rsidR="001D687F">
        <w:rPr>
          <w:rFonts w:ascii="Century Schoolbook" w:hAnsi="Century Schoolbook"/>
          <w:lang w:val="en-GB"/>
        </w:rPr>
        <w:t>and</w:t>
      </w:r>
      <w:r w:rsidR="001D687F" w:rsidRPr="001D687F">
        <w:rPr>
          <w:rFonts w:ascii="Century Schoolbook" w:hAnsi="Century Schoolbook"/>
          <w:lang w:val="en-GB"/>
        </w:rPr>
        <w:t xml:space="preserve"> Jerba</w:t>
      </w:r>
      <w:r w:rsidR="001D687F">
        <w:rPr>
          <w:rFonts w:ascii="Century Schoolbook" w:hAnsi="Century Schoolbook"/>
          <w:lang w:val="en-GB"/>
        </w:rPr>
        <w:t xml:space="preserve"> (2014, 113-114) on Germany</w:t>
      </w:r>
      <w:r w:rsidR="00EA6717" w:rsidRPr="00EA6717">
        <w:rPr>
          <w:rFonts w:ascii="Century Schoolbook" w:hAnsi="Century Schoolbook"/>
          <w:lang w:val="en-GB"/>
        </w:rPr>
        <w:t xml:space="preserve"> </w:t>
      </w:r>
      <w:r w:rsidR="00EA6717">
        <w:rPr>
          <w:rFonts w:ascii="Century Schoolbook" w:hAnsi="Century Schoolbook"/>
          <w:lang w:val="en-GB"/>
        </w:rPr>
        <w:t>and Tunisia</w:t>
      </w:r>
      <w:r w:rsidR="001D687F">
        <w:rPr>
          <w:rFonts w:ascii="Century Schoolbook" w:hAnsi="Century Schoolbook"/>
          <w:lang w:val="en-GB"/>
        </w:rPr>
        <w:t>: while the r</w:t>
      </w:r>
      <w:r w:rsidR="001D687F" w:rsidRPr="001D687F">
        <w:rPr>
          <w:rFonts w:ascii="Century Schoolbook" w:hAnsi="Century Schoolbook"/>
          <w:lang w:val="en-GB"/>
        </w:rPr>
        <w:t xml:space="preserve">esponses </w:t>
      </w:r>
      <w:r w:rsidR="00EA6717">
        <w:rPr>
          <w:rFonts w:ascii="Century Schoolbook" w:hAnsi="Century Schoolbook"/>
          <w:lang w:val="en-GB"/>
        </w:rPr>
        <w:t>are</w:t>
      </w:r>
      <w:r w:rsidR="001D687F" w:rsidRPr="001D687F">
        <w:rPr>
          <w:rFonts w:ascii="Century Schoolbook" w:hAnsi="Century Schoolbook"/>
          <w:lang w:val="en-GB"/>
        </w:rPr>
        <w:t xml:space="preserve"> very similar with regard to </w:t>
      </w:r>
      <w:r w:rsidR="009846F3">
        <w:rPr>
          <w:rFonts w:ascii="Century Schoolbook" w:hAnsi="Century Schoolbook"/>
          <w:lang w:val="en-GB"/>
        </w:rPr>
        <w:t>who</w:t>
      </w:r>
      <w:r w:rsidR="001D687F" w:rsidRPr="001D687F">
        <w:rPr>
          <w:rFonts w:ascii="Century Schoolbook" w:hAnsi="Century Schoolbook"/>
          <w:lang w:val="en-GB"/>
        </w:rPr>
        <w:t xml:space="preserve"> </w:t>
      </w:r>
      <w:r w:rsidR="00AE636A">
        <w:rPr>
          <w:rFonts w:ascii="Century Schoolbook" w:hAnsi="Century Schoolbook"/>
          <w:lang w:val="en-GB"/>
        </w:rPr>
        <w:t xml:space="preserve">strongly or somewhat </w:t>
      </w:r>
      <w:r w:rsidR="001D687F" w:rsidRPr="001D687F">
        <w:rPr>
          <w:rFonts w:ascii="Century Schoolbook" w:hAnsi="Century Schoolbook"/>
          <w:lang w:val="en-GB"/>
        </w:rPr>
        <w:t>believ</w:t>
      </w:r>
      <w:r w:rsidR="009846F3">
        <w:rPr>
          <w:rFonts w:ascii="Century Schoolbook" w:hAnsi="Century Schoolbook"/>
          <w:lang w:val="en-GB"/>
        </w:rPr>
        <w:t>es</w:t>
      </w:r>
      <w:r w:rsidR="001D687F" w:rsidRPr="001D687F">
        <w:rPr>
          <w:rFonts w:ascii="Century Schoolbook" w:hAnsi="Century Schoolbook"/>
          <w:lang w:val="en-GB"/>
        </w:rPr>
        <w:t xml:space="preserve"> that diversity </w:t>
      </w:r>
      <w:r w:rsidR="00AE636A">
        <w:rPr>
          <w:rFonts w:ascii="Century Schoolbook" w:hAnsi="Century Schoolbook"/>
          <w:lang w:val="en-GB"/>
        </w:rPr>
        <w:t xml:space="preserve">can </w:t>
      </w:r>
      <w:r w:rsidR="001D687F" w:rsidRPr="001D687F">
        <w:rPr>
          <w:rFonts w:ascii="Century Schoolbook" w:hAnsi="Century Schoolbook"/>
          <w:lang w:val="en-GB"/>
        </w:rPr>
        <w:t>bring prosperity (84% in Germany and 81% in Tunisia), it seems that the Tunisi</w:t>
      </w:r>
      <w:r w:rsidR="009846F3">
        <w:rPr>
          <w:rFonts w:ascii="Century Schoolbook" w:hAnsi="Century Schoolbook"/>
          <w:lang w:val="en-GB"/>
        </w:rPr>
        <w:t xml:space="preserve">a </w:t>
      </w:r>
      <w:r w:rsidR="001D687F" w:rsidRPr="001D687F">
        <w:rPr>
          <w:rFonts w:ascii="Century Schoolbook" w:hAnsi="Century Schoolbook"/>
          <w:lang w:val="en-GB"/>
        </w:rPr>
        <w:t>is more open to diversity</w:t>
      </w:r>
      <w:r w:rsidR="001D687F">
        <w:rPr>
          <w:rFonts w:ascii="Century Schoolbook" w:hAnsi="Century Schoolbook"/>
          <w:lang w:val="en-GB"/>
        </w:rPr>
        <w:t>, since</w:t>
      </w:r>
      <w:r w:rsidR="001D687F" w:rsidRPr="001D687F">
        <w:rPr>
          <w:rFonts w:ascii="Century Schoolbook" w:hAnsi="Century Schoolbook"/>
          <w:lang w:val="en-GB"/>
        </w:rPr>
        <w:t xml:space="preserve"> more Tunisians (93%) than Germans (88%) </w:t>
      </w:r>
      <w:r w:rsidR="003E3D2A">
        <w:rPr>
          <w:rFonts w:ascii="Century Schoolbook" w:hAnsi="Century Schoolbook"/>
          <w:lang w:val="en-GB"/>
        </w:rPr>
        <w:t>strongly or somewhat agree</w:t>
      </w:r>
      <w:r w:rsidR="001D687F" w:rsidRPr="001D687F">
        <w:rPr>
          <w:rFonts w:ascii="Century Schoolbook" w:hAnsi="Century Schoolbook"/>
          <w:lang w:val="en-GB"/>
        </w:rPr>
        <w:t xml:space="preserve"> that everybody </w:t>
      </w:r>
      <w:r w:rsidR="009846F3">
        <w:rPr>
          <w:rFonts w:ascii="Century Schoolbook" w:hAnsi="Century Schoolbook"/>
          <w:lang w:val="en-GB"/>
        </w:rPr>
        <w:t>should</w:t>
      </w:r>
      <w:r w:rsidR="001D687F" w:rsidRPr="001D687F">
        <w:rPr>
          <w:rFonts w:ascii="Century Schoolbook" w:hAnsi="Century Schoolbook"/>
          <w:lang w:val="en-GB"/>
        </w:rPr>
        <w:t xml:space="preserve"> have the same rights and opportunit</w:t>
      </w:r>
      <w:r w:rsidR="009846F3">
        <w:rPr>
          <w:rFonts w:ascii="Century Schoolbook" w:hAnsi="Century Schoolbook"/>
          <w:lang w:val="en-GB"/>
        </w:rPr>
        <w:t>ies</w:t>
      </w:r>
      <w:r w:rsidR="001D687F" w:rsidRPr="001D687F">
        <w:rPr>
          <w:rFonts w:ascii="Century Schoolbook" w:hAnsi="Century Schoolbook"/>
          <w:lang w:val="en-GB"/>
        </w:rPr>
        <w:t xml:space="preserve"> despite their </w:t>
      </w:r>
      <w:r w:rsidR="00AE636A">
        <w:rPr>
          <w:rFonts w:ascii="Century Schoolbook" w:hAnsi="Century Schoolbook"/>
          <w:lang w:val="en-GB"/>
        </w:rPr>
        <w:t xml:space="preserve">cultural and religious </w:t>
      </w:r>
      <w:r w:rsidR="001D687F" w:rsidRPr="001D687F">
        <w:rPr>
          <w:rFonts w:ascii="Century Schoolbook" w:hAnsi="Century Schoolbook"/>
          <w:lang w:val="en-GB"/>
        </w:rPr>
        <w:t>backgrounds</w:t>
      </w:r>
      <w:r w:rsidR="001D687F">
        <w:rPr>
          <w:rFonts w:ascii="Century Schoolbook" w:hAnsi="Century Schoolbook"/>
          <w:lang w:val="en-GB"/>
        </w:rPr>
        <w:t xml:space="preserve"> and </w:t>
      </w:r>
      <w:r w:rsidR="001D687F" w:rsidRPr="001D687F">
        <w:rPr>
          <w:rFonts w:ascii="Century Schoolbook" w:hAnsi="Century Schoolbook"/>
          <w:lang w:val="en-GB"/>
        </w:rPr>
        <w:t xml:space="preserve">less Tunisian (39%) than Germans (61%) </w:t>
      </w:r>
      <w:r w:rsidR="003E3D2A">
        <w:rPr>
          <w:rFonts w:ascii="Century Schoolbook" w:hAnsi="Century Schoolbook"/>
          <w:lang w:val="en-GB"/>
        </w:rPr>
        <w:t>strongly or somewhat believe that</w:t>
      </w:r>
      <w:r w:rsidR="001D687F" w:rsidRPr="001D687F">
        <w:rPr>
          <w:rFonts w:ascii="Century Schoolbook" w:hAnsi="Century Schoolbook"/>
          <w:lang w:val="en-GB"/>
        </w:rPr>
        <w:t xml:space="preserve"> diversity </w:t>
      </w:r>
      <w:r w:rsidR="003E3D2A">
        <w:rPr>
          <w:rFonts w:ascii="Century Schoolbook" w:hAnsi="Century Schoolbook"/>
          <w:lang w:val="en-GB"/>
        </w:rPr>
        <w:t>can be</w:t>
      </w:r>
      <w:r w:rsidR="001D687F" w:rsidRPr="001D687F">
        <w:rPr>
          <w:rFonts w:ascii="Century Schoolbook" w:hAnsi="Century Schoolbook"/>
          <w:lang w:val="en-GB"/>
        </w:rPr>
        <w:t xml:space="preserve"> a threat</w:t>
      </w:r>
      <w:r w:rsidR="003E3D2A">
        <w:rPr>
          <w:rFonts w:ascii="Century Schoolbook" w:hAnsi="Century Schoolbook"/>
          <w:lang w:val="en-GB"/>
        </w:rPr>
        <w:t xml:space="preserve"> to society</w:t>
      </w:r>
      <w:r w:rsidR="009846F3">
        <w:rPr>
          <w:rFonts w:ascii="Century Schoolbook" w:hAnsi="Century Schoolbook"/>
          <w:lang w:val="en-GB"/>
        </w:rPr>
        <w:t>.</w:t>
      </w:r>
      <w:r w:rsidR="001D687F" w:rsidRPr="001D687F">
        <w:rPr>
          <w:rFonts w:ascii="Century Schoolbook" w:hAnsi="Century Schoolbook"/>
          <w:lang w:val="en-GB"/>
        </w:rPr>
        <w:t xml:space="preserve"> </w:t>
      </w:r>
    </w:p>
    <w:p w14:paraId="32018A2B" w14:textId="3E12298D" w:rsidR="00EF4C58" w:rsidRPr="00333CAF" w:rsidRDefault="001D687F" w:rsidP="00EF4C58">
      <w:pPr>
        <w:spacing w:line="360" w:lineRule="auto"/>
        <w:jc w:val="both"/>
        <w:rPr>
          <w:rFonts w:ascii="Century Schoolbook" w:hAnsi="Century Schoolbook"/>
          <w:lang w:val="en-GB"/>
        </w:rPr>
      </w:pPr>
      <w:r>
        <w:rPr>
          <w:rFonts w:ascii="Century Schoolbook" w:hAnsi="Century Schoolbook"/>
          <w:lang w:val="en-GB"/>
        </w:rPr>
        <w:t>Getting to the point of</w:t>
      </w:r>
      <w:r w:rsidR="00EA6717">
        <w:rPr>
          <w:rFonts w:ascii="Century Schoolbook" w:hAnsi="Century Schoolbook"/>
          <w:lang w:val="en-GB"/>
        </w:rPr>
        <w:t xml:space="preserve"> analysing</w:t>
      </w:r>
      <w:r>
        <w:rPr>
          <w:rFonts w:ascii="Century Schoolbook" w:hAnsi="Century Schoolbook"/>
          <w:lang w:val="en-GB"/>
        </w:rPr>
        <w:t xml:space="preserve"> the </w:t>
      </w:r>
      <w:r w:rsidR="00A8178B">
        <w:rPr>
          <w:rFonts w:ascii="Century Schoolbook" w:hAnsi="Century Schoolbook"/>
          <w:lang w:val="en-GB"/>
        </w:rPr>
        <w:t xml:space="preserve">relation between religiosity and </w:t>
      </w:r>
      <w:r w:rsidR="00A8178B" w:rsidRPr="00333CAF">
        <w:rPr>
          <w:rFonts w:ascii="Century Schoolbook" w:hAnsi="Century Schoolbook"/>
          <w:lang w:val="en-GB"/>
        </w:rPr>
        <w:t>openness to intercultural relations</w:t>
      </w:r>
      <w:r>
        <w:rPr>
          <w:rFonts w:ascii="Century Schoolbook" w:hAnsi="Century Schoolbook"/>
          <w:lang w:val="en-GB"/>
        </w:rPr>
        <w:t>,</w:t>
      </w:r>
      <w:r w:rsidR="00A8178B">
        <w:rPr>
          <w:rFonts w:ascii="Century Schoolbook" w:hAnsi="Century Schoolbook"/>
          <w:lang w:val="en-GB"/>
        </w:rPr>
        <w:t xml:space="preserve"> </w:t>
      </w:r>
      <w:r w:rsidR="009846F3">
        <w:rPr>
          <w:rFonts w:ascii="Century Schoolbook" w:hAnsi="Century Schoolbook"/>
          <w:lang w:val="en-GB"/>
        </w:rPr>
        <w:t xml:space="preserve">there are </w:t>
      </w:r>
      <w:r>
        <w:rPr>
          <w:rFonts w:ascii="Century Schoolbook" w:hAnsi="Century Schoolbook"/>
          <w:lang w:val="en-GB"/>
        </w:rPr>
        <w:t xml:space="preserve">variations </w:t>
      </w:r>
      <w:r w:rsidR="00A8178B">
        <w:rPr>
          <w:rFonts w:ascii="Century Schoolbook" w:hAnsi="Century Schoolbook"/>
          <w:lang w:val="en-GB"/>
        </w:rPr>
        <w:t xml:space="preserve">among the countries </w:t>
      </w:r>
      <w:r w:rsidR="009846F3">
        <w:rPr>
          <w:rFonts w:ascii="Century Schoolbook" w:hAnsi="Century Schoolbook"/>
          <w:lang w:val="en-GB"/>
        </w:rPr>
        <w:t>facing</w:t>
      </w:r>
      <w:r w:rsidR="00A8178B">
        <w:rPr>
          <w:rFonts w:ascii="Century Schoolbook" w:hAnsi="Century Schoolbook"/>
          <w:lang w:val="en-GB"/>
        </w:rPr>
        <w:t xml:space="preserve"> the Mediterranean. Cohen</w:t>
      </w:r>
      <w:r w:rsidR="00D42FE6">
        <w:rPr>
          <w:rFonts w:ascii="Century Schoolbook" w:hAnsi="Century Schoolbook"/>
          <w:lang w:val="en-GB"/>
        </w:rPr>
        <w:t xml:space="preserve"> highlights how the situation in Israel and Palestine is very different from the one of other SEM and European states: w</w:t>
      </w:r>
      <w:r w:rsidR="00D42FE6" w:rsidRPr="00D42FE6">
        <w:rPr>
          <w:rFonts w:ascii="Century Schoolbook" w:hAnsi="Century Schoolbook"/>
          <w:lang w:val="en-GB"/>
        </w:rPr>
        <w:t xml:space="preserve">hile Israelian and Palestinian not religious respondents </w:t>
      </w:r>
      <w:r w:rsidR="009846F3">
        <w:rPr>
          <w:rFonts w:ascii="Century Schoolbook" w:hAnsi="Century Schoolbook"/>
          <w:lang w:val="en-GB"/>
        </w:rPr>
        <w:t>are</w:t>
      </w:r>
      <w:r w:rsidR="00D42FE6" w:rsidRPr="00D42FE6">
        <w:rPr>
          <w:rFonts w:ascii="Century Schoolbook" w:hAnsi="Century Schoolbook"/>
          <w:lang w:val="en-GB"/>
        </w:rPr>
        <w:t xml:space="preserve"> quite open to the possibility of having a children attending a multicultural school (45% not minding this at all), </w:t>
      </w:r>
      <w:r w:rsidR="009846F3">
        <w:rPr>
          <w:rFonts w:ascii="Century Schoolbook" w:hAnsi="Century Schoolbook"/>
          <w:lang w:val="en-GB"/>
        </w:rPr>
        <w:t xml:space="preserve">much less </w:t>
      </w:r>
      <w:r w:rsidR="00D42FE6" w:rsidRPr="00D42FE6">
        <w:rPr>
          <w:rFonts w:ascii="Century Schoolbook" w:hAnsi="Century Schoolbook"/>
          <w:lang w:val="en-GB"/>
        </w:rPr>
        <w:t>religious people in the same countr</w:t>
      </w:r>
      <w:r w:rsidR="00EA6717">
        <w:rPr>
          <w:rFonts w:ascii="Century Schoolbook" w:hAnsi="Century Schoolbook"/>
          <w:lang w:val="en-GB"/>
        </w:rPr>
        <w:t>ies</w:t>
      </w:r>
      <w:r w:rsidR="00D42FE6" w:rsidRPr="00D42FE6">
        <w:rPr>
          <w:rFonts w:ascii="Century Schoolbook" w:hAnsi="Century Schoolbook"/>
          <w:lang w:val="en-GB"/>
        </w:rPr>
        <w:t xml:space="preserve"> </w:t>
      </w:r>
      <w:r w:rsidR="009846F3">
        <w:rPr>
          <w:rFonts w:ascii="Century Schoolbook" w:hAnsi="Century Schoolbook"/>
          <w:lang w:val="en-GB"/>
        </w:rPr>
        <w:t xml:space="preserve">have the same opinion </w:t>
      </w:r>
      <w:r w:rsidR="00D42FE6" w:rsidRPr="00D42FE6">
        <w:rPr>
          <w:rFonts w:ascii="Century Schoolbook" w:hAnsi="Century Schoolbook"/>
          <w:lang w:val="en-GB"/>
        </w:rPr>
        <w:t>(only 14% in Israel and 25% in Palestine not minding at all)</w:t>
      </w:r>
      <w:r w:rsidR="00D42FE6">
        <w:rPr>
          <w:rFonts w:ascii="Century Schoolbook" w:hAnsi="Century Schoolbook"/>
          <w:lang w:val="en-GB"/>
        </w:rPr>
        <w:t>; on the other hand, t</w:t>
      </w:r>
      <w:r w:rsidR="00D42FE6" w:rsidRPr="00D42FE6">
        <w:rPr>
          <w:rFonts w:ascii="Century Schoolbook" w:hAnsi="Century Schoolbook"/>
          <w:lang w:val="en-GB"/>
        </w:rPr>
        <w:t>he situation in other SEM countries</w:t>
      </w:r>
      <w:r w:rsidR="00EA6717">
        <w:rPr>
          <w:rFonts w:ascii="Century Schoolbook" w:hAnsi="Century Schoolbook"/>
          <w:lang w:val="en-GB"/>
        </w:rPr>
        <w:t xml:space="preserve"> </w:t>
      </w:r>
      <w:r w:rsidR="00D42FE6" w:rsidRPr="00D42FE6">
        <w:rPr>
          <w:rFonts w:ascii="Century Schoolbook" w:hAnsi="Century Schoolbook"/>
          <w:lang w:val="en-GB"/>
        </w:rPr>
        <w:t>sho</w:t>
      </w:r>
      <w:r w:rsidR="00EA6717">
        <w:rPr>
          <w:rFonts w:ascii="Century Schoolbook" w:hAnsi="Century Schoolbook"/>
          <w:lang w:val="en-GB"/>
        </w:rPr>
        <w:t>ws</w:t>
      </w:r>
      <w:r w:rsidR="00D42FE6" w:rsidRPr="00D42FE6">
        <w:rPr>
          <w:rFonts w:ascii="Century Schoolbook" w:hAnsi="Century Schoolbook"/>
          <w:lang w:val="en-GB"/>
        </w:rPr>
        <w:t xml:space="preserve"> that people respond similarly despite their different degree of religiosity</w:t>
      </w:r>
      <w:r w:rsidR="009846F3">
        <w:rPr>
          <w:rFonts w:ascii="Century Schoolbook" w:hAnsi="Century Schoolbook"/>
          <w:lang w:val="en-GB"/>
        </w:rPr>
        <w:t xml:space="preserve"> </w:t>
      </w:r>
      <w:r w:rsidR="00D42FE6">
        <w:rPr>
          <w:rFonts w:ascii="Century Schoolbook" w:hAnsi="Century Schoolbook"/>
          <w:lang w:val="en-GB"/>
        </w:rPr>
        <w:t>(2018, 62-63).</w:t>
      </w:r>
      <w:r w:rsidR="009846F3">
        <w:rPr>
          <w:rFonts w:ascii="Century Schoolbook" w:hAnsi="Century Schoolbook"/>
          <w:lang w:val="en-GB"/>
        </w:rPr>
        <w:t xml:space="preserve"> T</w:t>
      </w:r>
      <w:r w:rsidR="00D42FE6">
        <w:rPr>
          <w:rFonts w:ascii="Century Schoolbook" w:hAnsi="Century Schoolbook"/>
          <w:lang w:val="en-GB"/>
        </w:rPr>
        <w:t xml:space="preserve">herefore, in the large majority of states </w:t>
      </w:r>
      <w:r w:rsidR="00EA6717">
        <w:rPr>
          <w:rFonts w:ascii="Century Schoolbook" w:hAnsi="Century Schoolbook"/>
          <w:lang w:val="en-GB"/>
        </w:rPr>
        <w:t>analysed,</w:t>
      </w:r>
      <w:r w:rsidR="00D42FE6">
        <w:rPr>
          <w:rFonts w:ascii="Century Schoolbook" w:hAnsi="Century Schoolbook"/>
          <w:lang w:val="en-GB"/>
        </w:rPr>
        <w:t xml:space="preserve"> the degree of religiosity of a person does not considerably impact its openness. This is particularly evident considering the data </w:t>
      </w:r>
      <w:r w:rsidR="00D42FE6">
        <w:rPr>
          <w:rFonts w:ascii="Century Schoolbook" w:hAnsi="Century Schoolbook"/>
          <w:lang w:val="en-GB"/>
        </w:rPr>
        <w:lastRenderedPageBreak/>
        <w:t>coming from Europe</w:t>
      </w:r>
      <w:r w:rsidR="009846F3">
        <w:rPr>
          <w:rFonts w:ascii="Century Schoolbook" w:hAnsi="Century Schoolbook"/>
          <w:lang w:val="en-GB"/>
        </w:rPr>
        <w:t>, where r</w:t>
      </w:r>
      <w:r w:rsidR="00D42FE6" w:rsidRPr="00D42FE6">
        <w:rPr>
          <w:rFonts w:ascii="Century Schoolbook" w:hAnsi="Century Schoolbook"/>
          <w:lang w:val="en-GB"/>
        </w:rPr>
        <w:t>espondents with different levels of religiosity show very similar attitudes regarding which are the most efficacious tools to prevent radicalization</w:t>
      </w:r>
      <w:r w:rsidR="00D7237E">
        <w:rPr>
          <w:rFonts w:ascii="Century Schoolbook" w:hAnsi="Century Schoolbook"/>
          <w:lang w:val="en-GB"/>
        </w:rPr>
        <w:t xml:space="preserve">: </w:t>
      </w:r>
      <w:r w:rsidR="00D7237E" w:rsidRPr="00D42FE6">
        <w:rPr>
          <w:rFonts w:ascii="Century Schoolbook" w:hAnsi="Century Schoolbook"/>
          <w:lang w:val="en-GB"/>
        </w:rPr>
        <w:t xml:space="preserve">the only difference </w:t>
      </w:r>
      <w:r w:rsidR="00AE636A">
        <w:rPr>
          <w:rFonts w:ascii="Century Schoolbook" w:hAnsi="Century Schoolbook"/>
          <w:lang w:val="en-GB"/>
        </w:rPr>
        <w:t>in</w:t>
      </w:r>
      <w:r w:rsidR="00D7237E" w:rsidRPr="00D42FE6">
        <w:rPr>
          <w:rFonts w:ascii="Century Schoolbook" w:hAnsi="Century Schoolbook"/>
          <w:lang w:val="en-GB"/>
        </w:rPr>
        <w:t xml:space="preserve"> approaches can be seen in the case of inter-religious dialogue that is supported more by religious respondents</w:t>
      </w:r>
      <w:r w:rsidR="00D7237E">
        <w:rPr>
          <w:rFonts w:ascii="Century Schoolbook" w:hAnsi="Century Schoolbook"/>
          <w:lang w:val="en-GB"/>
        </w:rPr>
        <w:t>; while, despite their religiosity, most respondent</w:t>
      </w:r>
      <w:r w:rsidR="00EA6717">
        <w:rPr>
          <w:rFonts w:ascii="Century Schoolbook" w:hAnsi="Century Schoolbook"/>
          <w:lang w:val="en-GB"/>
        </w:rPr>
        <w:t>s</w:t>
      </w:r>
      <w:r w:rsidR="00D7237E">
        <w:rPr>
          <w:rFonts w:ascii="Century Schoolbook" w:hAnsi="Century Schoolbook"/>
          <w:lang w:val="en-GB"/>
        </w:rPr>
        <w:t xml:space="preserve"> support education, youth participation and exchange programs to fight radicalization (Cohen 2018, 61-62).</w:t>
      </w:r>
      <w:r w:rsidR="00D7237E" w:rsidRPr="00D42FE6">
        <w:rPr>
          <w:rFonts w:ascii="Century Schoolbook" w:hAnsi="Century Schoolbook"/>
          <w:lang w:val="en-GB"/>
        </w:rPr>
        <w:t xml:space="preserve"> </w:t>
      </w:r>
      <w:r w:rsidR="0036021E">
        <w:rPr>
          <w:rFonts w:ascii="Century Schoolbook" w:hAnsi="Century Schoolbook"/>
          <w:lang w:val="en-GB"/>
        </w:rPr>
        <w:t>As this report will display,</w:t>
      </w:r>
      <w:r w:rsidR="00D7237E">
        <w:rPr>
          <w:rFonts w:ascii="Century Schoolbook" w:hAnsi="Century Schoolbook"/>
          <w:lang w:val="en-GB"/>
        </w:rPr>
        <w:t xml:space="preserve"> the fact that respondents tend t</w:t>
      </w:r>
      <w:r w:rsidR="00D42FE6" w:rsidRPr="00D42FE6">
        <w:rPr>
          <w:rFonts w:ascii="Century Schoolbook" w:hAnsi="Century Schoolbook"/>
          <w:lang w:val="en-GB"/>
        </w:rPr>
        <w:t xml:space="preserve">o privilege approaches </w:t>
      </w:r>
      <w:r w:rsidR="0036021E">
        <w:rPr>
          <w:rFonts w:ascii="Century Schoolbook" w:hAnsi="Century Schoolbook"/>
          <w:lang w:val="en-GB"/>
        </w:rPr>
        <w:t>focusing</w:t>
      </w:r>
      <w:r w:rsidR="00D42FE6" w:rsidRPr="00D42FE6">
        <w:rPr>
          <w:rFonts w:ascii="Century Schoolbook" w:hAnsi="Century Schoolbook"/>
          <w:lang w:val="en-GB"/>
        </w:rPr>
        <w:t xml:space="preserve"> on the role of youth</w:t>
      </w:r>
      <w:r w:rsidR="00D7237E">
        <w:rPr>
          <w:rFonts w:ascii="Century Schoolbook" w:hAnsi="Century Schoolbook"/>
          <w:lang w:val="en-GB"/>
        </w:rPr>
        <w:t xml:space="preserve"> </w:t>
      </w:r>
      <w:r w:rsidR="00EA6717">
        <w:rPr>
          <w:rFonts w:ascii="Century Schoolbook" w:hAnsi="Century Schoolbook"/>
          <w:lang w:val="en-GB"/>
        </w:rPr>
        <w:t>is</w:t>
      </w:r>
      <w:r w:rsidR="00D7237E">
        <w:rPr>
          <w:rFonts w:ascii="Century Schoolbook" w:hAnsi="Century Schoolbook"/>
          <w:lang w:val="en-GB"/>
        </w:rPr>
        <w:t xml:space="preserve"> a leitmotiv of the data presented in this </w:t>
      </w:r>
      <w:r w:rsidR="00EA6717">
        <w:rPr>
          <w:rFonts w:ascii="Century Schoolbook" w:hAnsi="Century Schoolbook"/>
          <w:lang w:val="en-GB"/>
        </w:rPr>
        <w:t xml:space="preserve">whole </w:t>
      </w:r>
      <w:r w:rsidR="00D7237E">
        <w:rPr>
          <w:rFonts w:ascii="Century Schoolbook" w:hAnsi="Century Schoolbook"/>
          <w:lang w:val="en-GB"/>
        </w:rPr>
        <w:t>module</w:t>
      </w:r>
      <w:r w:rsidR="00D42FE6" w:rsidRPr="00D42FE6">
        <w:rPr>
          <w:rFonts w:ascii="Century Schoolbook" w:hAnsi="Century Schoolbook"/>
          <w:lang w:val="en-GB"/>
        </w:rPr>
        <w:t>.</w:t>
      </w:r>
    </w:p>
    <w:p w14:paraId="63952F99" w14:textId="4FA10FD0" w:rsidR="00223017" w:rsidRPr="00EA6717" w:rsidRDefault="00EA6717" w:rsidP="00EA6717">
      <w:pPr>
        <w:spacing w:line="360" w:lineRule="auto"/>
        <w:jc w:val="both"/>
        <w:rPr>
          <w:rFonts w:ascii="Century Schoolbook" w:hAnsi="Century Schoolbook"/>
          <w:lang w:val="en-GB"/>
        </w:rPr>
      </w:pPr>
      <w:r>
        <w:rPr>
          <w:rFonts w:ascii="Century Schoolbook" w:hAnsi="Century Schoolbook"/>
          <w:lang w:val="en-GB"/>
        </w:rPr>
        <w:t>The analysis continues presenting</w:t>
      </w:r>
      <w:r w:rsidR="00223017" w:rsidRPr="00EA6717">
        <w:rPr>
          <w:rFonts w:ascii="Century Schoolbook" w:hAnsi="Century Schoolbook"/>
          <w:lang w:val="en-GB"/>
        </w:rPr>
        <w:t xml:space="preserve"> the </w:t>
      </w:r>
      <w:r w:rsidR="00EF4C58" w:rsidRPr="00EA6717">
        <w:rPr>
          <w:rFonts w:ascii="Century Schoolbook" w:hAnsi="Century Schoolbook"/>
          <w:lang w:val="en-GB"/>
        </w:rPr>
        <w:t xml:space="preserve">level of tolerance of </w:t>
      </w:r>
      <w:r w:rsidR="0036021E">
        <w:rPr>
          <w:rFonts w:ascii="Century Schoolbook" w:hAnsi="Century Schoolbook"/>
          <w:lang w:val="en-GB"/>
        </w:rPr>
        <w:t>people</w:t>
      </w:r>
      <w:r w:rsidR="00EF4C58" w:rsidRPr="00EA6717">
        <w:rPr>
          <w:rFonts w:ascii="Century Schoolbook" w:hAnsi="Century Schoolbook"/>
          <w:lang w:val="en-GB"/>
        </w:rPr>
        <w:t xml:space="preserve"> in having relations with people of different cultural </w:t>
      </w:r>
      <w:r w:rsidR="0036021E">
        <w:rPr>
          <w:rFonts w:ascii="Century Schoolbook" w:hAnsi="Century Schoolbook"/>
          <w:lang w:val="en-GB"/>
        </w:rPr>
        <w:t xml:space="preserve">and religious </w:t>
      </w:r>
      <w:r w:rsidR="00EF4C58" w:rsidRPr="00EA6717">
        <w:rPr>
          <w:rFonts w:ascii="Century Schoolbook" w:hAnsi="Century Schoolbook"/>
          <w:lang w:val="en-GB"/>
        </w:rPr>
        <w:t>backgrounds</w:t>
      </w:r>
      <w:r w:rsidR="00C56910" w:rsidRPr="00EA6717">
        <w:rPr>
          <w:rFonts w:ascii="Century Schoolbook" w:hAnsi="Century Schoolbook"/>
          <w:lang w:val="en-GB"/>
        </w:rPr>
        <w:t>: m</w:t>
      </w:r>
      <w:r w:rsidR="00EF4C58" w:rsidRPr="00EA6717">
        <w:rPr>
          <w:rFonts w:ascii="Century Schoolbook" w:hAnsi="Century Schoolbook"/>
          <w:lang w:val="en-GB"/>
        </w:rPr>
        <w:t xml:space="preserve">ost </w:t>
      </w:r>
      <w:r w:rsidR="0036021E">
        <w:rPr>
          <w:rFonts w:ascii="Century Schoolbook" w:hAnsi="Century Schoolbook"/>
          <w:lang w:val="en-GB"/>
        </w:rPr>
        <w:t>respondents</w:t>
      </w:r>
      <w:r w:rsidR="00EF4C58" w:rsidRPr="00EA6717">
        <w:rPr>
          <w:rFonts w:ascii="Century Schoolbook" w:hAnsi="Century Schoolbook"/>
          <w:lang w:val="en-GB"/>
        </w:rPr>
        <w:t xml:space="preserve"> </w:t>
      </w:r>
      <w:r w:rsidR="00C56910" w:rsidRPr="00EA6717">
        <w:rPr>
          <w:rFonts w:ascii="Century Schoolbook" w:hAnsi="Century Schoolbook"/>
          <w:lang w:val="en-GB"/>
        </w:rPr>
        <w:t xml:space="preserve">(with a slightly higher percentage in Europe) </w:t>
      </w:r>
      <w:r w:rsidR="00EF4C58" w:rsidRPr="00EA6717">
        <w:rPr>
          <w:rFonts w:ascii="Century Schoolbook" w:hAnsi="Century Schoolbook"/>
          <w:lang w:val="en-GB"/>
        </w:rPr>
        <w:t>would not mind at all having people from different cultures as colleagues, neighbours or acquired relatives.</w:t>
      </w:r>
      <w:r w:rsidR="00EE3DFD">
        <w:rPr>
          <w:rFonts w:ascii="Century Schoolbook" w:hAnsi="Century Schoolbook"/>
          <w:lang w:val="en-GB"/>
        </w:rPr>
        <w:t xml:space="preserve"> D</w:t>
      </w:r>
      <w:r w:rsidR="00C56910" w:rsidRPr="00EA6717">
        <w:rPr>
          <w:rFonts w:ascii="Century Schoolbook" w:hAnsi="Century Schoolbook"/>
          <w:lang w:val="en-GB"/>
        </w:rPr>
        <w:t xml:space="preserve">ata </w:t>
      </w:r>
      <w:r w:rsidR="00EE3DFD">
        <w:rPr>
          <w:rFonts w:ascii="Century Schoolbook" w:hAnsi="Century Schoolbook"/>
          <w:lang w:val="en-GB"/>
        </w:rPr>
        <w:t xml:space="preserve">also </w:t>
      </w:r>
      <w:r w:rsidR="00C56910" w:rsidRPr="00EA6717">
        <w:rPr>
          <w:rFonts w:ascii="Century Schoolbook" w:hAnsi="Century Schoolbook"/>
          <w:lang w:val="en-GB"/>
        </w:rPr>
        <w:t>show that</w:t>
      </w:r>
      <w:r w:rsidR="0036021E">
        <w:rPr>
          <w:rFonts w:ascii="Century Schoolbook" w:hAnsi="Century Schoolbook"/>
          <w:lang w:val="en-GB"/>
        </w:rPr>
        <w:t xml:space="preserve"> </w:t>
      </w:r>
      <w:r w:rsidR="003F2A3E">
        <w:rPr>
          <w:rFonts w:ascii="Century Schoolbook" w:hAnsi="Century Schoolbook"/>
          <w:lang w:val="en-GB"/>
        </w:rPr>
        <w:t>a</w:t>
      </w:r>
      <w:r w:rsidR="00C56910" w:rsidRPr="00EA6717">
        <w:rPr>
          <w:rFonts w:ascii="Century Schoolbook" w:hAnsi="Century Schoolbook"/>
          <w:lang w:val="en-GB"/>
        </w:rPr>
        <w:t xml:space="preserve"> higher level of tolerance </w:t>
      </w:r>
      <w:r w:rsidR="009846F3">
        <w:rPr>
          <w:rFonts w:ascii="Century Schoolbook" w:hAnsi="Century Schoolbook"/>
          <w:lang w:val="en-GB"/>
        </w:rPr>
        <w:t>is</w:t>
      </w:r>
      <w:r w:rsidR="00C56910" w:rsidRPr="00EA6717">
        <w:rPr>
          <w:rFonts w:ascii="Century Schoolbook" w:hAnsi="Century Schoolbook"/>
          <w:lang w:val="en-GB"/>
        </w:rPr>
        <w:t xml:space="preserve"> connected </w:t>
      </w:r>
      <w:r w:rsidR="0036021E">
        <w:rPr>
          <w:rFonts w:ascii="Century Schoolbook" w:hAnsi="Century Schoolbook"/>
          <w:lang w:val="en-GB"/>
        </w:rPr>
        <w:t>to a</w:t>
      </w:r>
      <w:r w:rsidR="00C56910" w:rsidRPr="00EA6717">
        <w:rPr>
          <w:rFonts w:ascii="Century Schoolbook" w:hAnsi="Century Schoolbook"/>
          <w:lang w:val="en-GB"/>
        </w:rPr>
        <w:t xml:space="preserve"> higher belief in </w:t>
      </w:r>
      <w:r w:rsidR="0036021E">
        <w:rPr>
          <w:rFonts w:ascii="Century Schoolbook" w:hAnsi="Century Schoolbook"/>
          <w:lang w:val="en-GB"/>
        </w:rPr>
        <w:t xml:space="preserve">the </w:t>
      </w:r>
      <w:r w:rsidR="00C56910" w:rsidRPr="00EA6717">
        <w:rPr>
          <w:rFonts w:ascii="Century Schoolbook" w:hAnsi="Century Schoolbook"/>
          <w:lang w:val="en-GB"/>
        </w:rPr>
        <w:t xml:space="preserve">efficiency of measures </w:t>
      </w:r>
      <w:r w:rsidR="0036021E">
        <w:rPr>
          <w:rFonts w:ascii="Century Schoolbook" w:hAnsi="Century Schoolbook"/>
          <w:lang w:val="en-GB"/>
        </w:rPr>
        <w:t xml:space="preserve">such </w:t>
      </w:r>
      <w:r w:rsidR="00C56910" w:rsidRPr="00EA6717">
        <w:rPr>
          <w:rFonts w:ascii="Century Schoolbook" w:hAnsi="Century Schoolbook"/>
          <w:lang w:val="en-GB"/>
        </w:rPr>
        <w:t>as exchange programs and inter-religious dialogue to deal with radicalization</w:t>
      </w:r>
      <w:r w:rsidR="0036021E">
        <w:rPr>
          <w:rFonts w:ascii="Century Schoolbook" w:hAnsi="Century Schoolbook"/>
          <w:lang w:val="en-GB"/>
        </w:rPr>
        <w:t xml:space="preserve"> and </w:t>
      </w:r>
      <w:r w:rsidR="0036021E" w:rsidRPr="00EA6717">
        <w:rPr>
          <w:rFonts w:ascii="Century Schoolbook" w:hAnsi="Century Schoolbook"/>
          <w:lang w:val="en-GB"/>
        </w:rPr>
        <w:t>conflict</w:t>
      </w:r>
      <w:r w:rsidR="009846F3">
        <w:rPr>
          <w:rFonts w:ascii="Century Schoolbook" w:hAnsi="Century Schoolbook"/>
          <w:lang w:val="en-GB"/>
        </w:rPr>
        <w:t xml:space="preserve"> (</w:t>
      </w:r>
      <w:r w:rsidR="009846F3" w:rsidRPr="00EA6717">
        <w:rPr>
          <w:rFonts w:ascii="Century Schoolbook" w:hAnsi="Century Schoolbook"/>
          <w:lang w:val="en-GB"/>
        </w:rPr>
        <w:t>Özerdem</w:t>
      </w:r>
      <w:r w:rsidR="009846F3">
        <w:rPr>
          <w:rFonts w:ascii="Century Schoolbook" w:hAnsi="Century Schoolbook"/>
          <w:lang w:val="en-GB"/>
        </w:rPr>
        <w:t xml:space="preserve"> 2018, 47)</w:t>
      </w:r>
      <w:r w:rsidR="00C56910" w:rsidRPr="00EA6717">
        <w:rPr>
          <w:rFonts w:ascii="Century Schoolbook" w:hAnsi="Century Schoolbook"/>
          <w:lang w:val="en-GB"/>
        </w:rPr>
        <w:t xml:space="preserve">. </w:t>
      </w:r>
      <w:r w:rsidR="007D19E6" w:rsidRPr="007D19E6">
        <w:rPr>
          <w:rFonts w:ascii="Century Schoolbook" w:hAnsi="Century Schoolbook"/>
          <w:lang w:val="en-GB"/>
        </w:rPr>
        <w:t>These two instruments are</w:t>
      </w:r>
      <w:r w:rsidR="007D19E6">
        <w:rPr>
          <w:rFonts w:ascii="Century Schoolbook" w:hAnsi="Century Schoolbook"/>
          <w:lang w:val="en-GB"/>
        </w:rPr>
        <w:t xml:space="preserve"> particularly crucial since they are </w:t>
      </w:r>
      <w:r w:rsidR="007D19E6" w:rsidRPr="007D19E6">
        <w:rPr>
          <w:rFonts w:ascii="Century Schoolbook" w:hAnsi="Century Schoolbook"/>
          <w:lang w:val="en-GB"/>
        </w:rPr>
        <w:t>recognized by the United Nation and the Council of Europe as strategic ways to tackle radicalization (UN General Assembly 2015, 49.e and 58.j and Fataliyeva 2016, 6.1 and 6.4.1).</w:t>
      </w:r>
      <w:r w:rsidR="007D19E6">
        <w:rPr>
          <w:rFonts w:ascii="Century Schoolbook" w:hAnsi="Century Schoolbook"/>
          <w:lang w:val="en-GB"/>
        </w:rPr>
        <w:t xml:space="preserve"> </w:t>
      </w:r>
      <w:r w:rsidR="00C56910" w:rsidRPr="00EA6717">
        <w:rPr>
          <w:rFonts w:ascii="Century Schoolbook" w:hAnsi="Century Schoolbook"/>
          <w:lang w:val="en-GB"/>
        </w:rPr>
        <w:t xml:space="preserve">In </w:t>
      </w:r>
      <w:r w:rsidR="007D19E6">
        <w:rPr>
          <w:rFonts w:ascii="Century Schoolbook" w:hAnsi="Century Schoolbook"/>
          <w:lang w:val="en-GB"/>
        </w:rPr>
        <w:t>fact</w:t>
      </w:r>
      <w:r w:rsidR="00223017" w:rsidRPr="00EA6717">
        <w:rPr>
          <w:rFonts w:ascii="Century Schoolbook" w:hAnsi="Century Schoolbook"/>
          <w:lang w:val="en-GB"/>
        </w:rPr>
        <w:t xml:space="preserve">, </w:t>
      </w:r>
      <w:r w:rsidR="00EF4C58" w:rsidRPr="00EA6717">
        <w:rPr>
          <w:rFonts w:ascii="Century Schoolbook" w:hAnsi="Century Schoolbook"/>
          <w:lang w:val="en-GB"/>
        </w:rPr>
        <w:t xml:space="preserve">Özerdem highlights that, </w:t>
      </w:r>
      <w:r w:rsidR="00223017" w:rsidRPr="00EA6717">
        <w:rPr>
          <w:rFonts w:ascii="Century Schoolbook" w:hAnsi="Century Schoolbook"/>
          <w:lang w:val="en-GB"/>
        </w:rPr>
        <w:t xml:space="preserve">especially </w:t>
      </w:r>
      <w:r w:rsidR="00EF4C58" w:rsidRPr="00EA6717">
        <w:rPr>
          <w:rFonts w:ascii="Century Schoolbook" w:hAnsi="Century Schoolbook"/>
          <w:lang w:val="en-GB"/>
        </w:rPr>
        <w:t xml:space="preserve">among very tolerant </w:t>
      </w:r>
      <w:r w:rsidR="007D19E6">
        <w:rPr>
          <w:rFonts w:ascii="Century Schoolbook" w:hAnsi="Century Schoolbook"/>
          <w:lang w:val="en-GB"/>
        </w:rPr>
        <w:t>people</w:t>
      </w:r>
      <w:r w:rsidR="00EF4C58" w:rsidRPr="00EA6717">
        <w:rPr>
          <w:rFonts w:ascii="Century Schoolbook" w:hAnsi="Century Schoolbook"/>
          <w:lang w:val="en-GB"/>
        </w:rPr>
        <w:t>, SEM more than European</w:t>
      </w:r>
      <w:r w:rsidR="00223017" w:rsidRPr="00EA6717">
        <w:rPr>
          <w:rFonts w:ascii="Century Schoolbook" w:hAnsi="Century Schoolbook"/>
          <w:lang w:val="en-GB"/>
        </w:rPr>
        <w:t xml:space="preserve"> respondents</w:t>
      </w:r>
      <w:r w:rsidR="00EF4C58" w:rsidRPr="00EA6717">
        <w:rPr>
          <w:rFonts w:ascii="Century Schoolbook" w:hAnsi="Century Schoolbook"/>
          <w:lang w:val="en-GB"/>
        </w:rPr>
        <w:t xml:space="preserve"> </w:t>
      </w:r>
      <w:r w:rsidR="00223017" w:rsidRPr="00EA6717">
        <w:rPr>
          <w:rFonts w:ascii="Century Schoolbook" w:hAnsi="Century Schoolbook"/>
          <w:lang w:val="en-GB"/>
        </w:rPr>
        <w:t xml:space="preserve">support these mechanisms: exchange programs </w:t>
      </w:r>
      <w:r w:rsidR="00337BF0">
        <w:rPr>
          <w:rFonts w:ascii="Century Schoolbook" w:hAnsi="Century Schoolbook"/>
          <w:lang w:val="en-GB"/>
        </w:rPr>
        <w:t>are</w:t>
      </w:r>
      <w:r w:rsidR="00223017" w:rsidRPr="00EA6717">
        <w:rPr>
          <w:rFonts w:ascii="Century Schoolbook" w:hAnsi="Century Schoolbook"/>
          <w:lang w:val="en-GB"/>
        </w:rPr>
        <w:t xml:space="preserve"> considered very efficient by 67% of SEM </w:t>
      </w:r>
      <w:r w:rsidR="00337BF0">
        <w:rPr>
          <w:rFonts w:ascii="Century Schoolbook" w:hAnsi="Century Schoolbook"/>
          <w:lang w:val="en-GB"/>
        </w:rPr>
        <w:t xml:space="preserve">people </w:t>
      </w:r>
      <w:r w:rsidR="00223017" w:rsidRPr="00EA6717">
        <w:rPr>
          <w:rFonts w:ascii="Century Schoolbook" w:hAnsi="Century Schoolbook"/>
          <w:lang w:val="en-GB"/>
        </w:rPr>
        <w:t>and 39% of Europeans; interreligious dialogue by 63% and 36%, respectively</w:t>
      </w:r>
      <w:r w:rsidR="00337BF0">
        <w:rPr>
          <w:rFonts w:ascii="Century Schoolbook" w:hAnsi="Century Schoolbook"/>
          <w:lang w:val="en-GB"/>
        </w:rPr>
        <w:t xml:space="preserve"> (2018, 47)</w:t>
      </w:r>
      <w:r w:rsidR="00223017" w:rsidRPr="00EA6717">
        <w:rPr>
          <w:rFonts w:ascii="Century Schoolbook" w:hAnsi="Century Schoolbook"/>
          <w:lang w:val="en-GB"/>
        </w:rPr>
        <w:t xml:space="preserve">. </w:t>
      </w:r>
    </w:p>
    <w:p w14:paraId="51C54465" w14:textId="3A5BFAD8" w:rsidR="00EF4C58" w:rsidRDefault="00EA6717" w:rsidP="00244EC6">
      <w:pPr>
        <w:spacing w:line="360" w:lineRule="auto"/>
        <w:jc w:val="both"/>
        <w:rPr>
          <w:rFonts w:ascii="Century Schoolbook" w:hAnsi="Century Schoolbook"/>
          <w:lang w:val="en-US"/>
        </w:rPr>
      </w:pPr>
      <w:r>
        <w:rPr>
          <w:rFonts w:ascii="Century Schoolbook" w:hAnsi="Century Schoolbook"/>
          <w:lang w:val="en-GB"/>
        </w:rPr>
        <w:t xml:space="preserve">The fight against radicalization </w:t>
      </w:r>
      <w:r w:rsidR="009846F3">
        <w:rPr>
          <w:rFonts w:ascii="Century Schoolbook" w:hAnsi="Century Schoolbook"/>
          <w:lang w:val="en-GB"/>
        </w:rPr>
        <w:t>is</w:t>
      </w:r>
      <w:r w:rsidR="0036021E">
        <w:rPr>
          <w:rFonts w:ascii="Century Schoolbook" w:hAnsi="Century Schoolbook"/>
          <w:lang w:val="en-GB"/>
        </w:rPr>
        <w:t>, in fact,</w:t>
      </w:r>
      <w:r w:rsidR="009846F3">
        <w:rPr>
          <w:rFonts w:ascii="Century Schoolbook" w:hAnsi="Century Schoolbook"/>
          <w:lang w:val="en-GB"/>
        </w:rPr>
        <w:t xml:space="preserve"> one of the most investigated topics</w:t>
      </w:r>
      <w:r>
        <w:rPr>
          <w:rFonts w:ascii="Century Schoolbook" w:hAnsi="Century Schoolbook"/>
          <w:lang w:val="en-GB"/>
        </w:rPr>
        <w:t xml:space="preserve"> in this module, which also provided a definition for such concept. </w:t>
      </w:r>
      <w:r w:rsidR="00EF4C58" w:rsidRPr="00EA6717">
        <w:rPr>
          <w:rFonts w:ascii="Century Schoolbook" w:hAnsi="Century Schoolbook"/>
          <w:lang w:val="en-US"/>
        </w:rPr>
        <w:t>Fahmy and Valsta</w:t>
      </w:r>
      <w:r w:rsidR="00EF4C58" w:rsidRPr="00333CAF">
        <w:rPr>
          <w:rFonts w:ascii="Century Schoolbook" w:hAnsi="Century Schoolbook"/>
          <w:b/>
          <w:bCs/>
          <w:lang w:val="en-US"/>
        </w:rPr>
        <w:t xml:space="preserve"> </w:t>
      </w:r>
      <w:r w:rsidR="00EF4C58" w:rsidRPr="00333CAF">
        <w:rPr>
          <w:rFonts w:ascii="Century Schoolbook" w:hAnsi="Century Schoolbook"/>
          <w:lang w:val="en-US"/>
        </w:rPr>
        <w:t>affirm that radicalization is not simply caused by ideological polarization: it derives from a complex combination of individual</w:t>
      </w:r>
      <w:r w:rsidR="00EF4C58" w:rsidRPr="00333CAF">
        <w:rPr>
          <w:rFonts w:ascii="Century Schoolbook" w:hAnsi="Century Schoolbook"/>
          <w:b/>
          <w:bCs/>
          <w:lang w:val="en-US"/>
        </w:rPr>
        <w:t xml:space="preserve"> </w:t>
      </w:r>
      <w:r w:rsidR="00EF4C58" w:rsidRPr="00333CAF">
        <w:rPr>
          <w:rFonts w:ascii="Century Schoolbook" w:hAnsi="Century Schoolbook"/>
          <w:lang w:val="en-US"/>
        </w:rPr>
        <w:t>circumstances</w:t>
      </w:r>
      <w:r w:rsidR="00EF4C58" w:rsidRPr="00333CAF">
        <w:rPr>
          <w:rFonts w:ascii="Century Schoolbook" w:hAnsi="Century Schoolbook"/>
          <w:b/>
          <w:bCs/>
          <w:lang w:val="en-US"/>
        </w:rPr>
        <w:t xml:space="preserve"> </w:t>
      </w:r>
      <w:r w:rsidR="00EF4C58" w:rsidRPr="00333CAF">
        <w:rPr>
          <w:rFonts w:ascii="Century Schoolbook" w:hAnsi="Century Schoolbook"/>
          <w:lang w:val="en-US"/>
        </w:rPr>
        <w:t>and social marginalization</w:t>
      </w:r>
      <w:r w:rsidR="00337BF0">
        <w:rPr>
          <w:rFonts w:ascii="Century Schoolbook" w:hAnsi="Century Schoolbook"/>
          <w:lang w:val="en-US"/>
        </w:rPr>
        <w:t xml:space="preserve"> (2018, 40)</w:t>
      </w:r>
      <w:r w:rsidR="00EF4C58" w:rsidRPr="00333CAF">
        <w:rPr>
          <w:rFonts w:ascii="Century Schoolbook" w:hAnsi="Century Schoolbook"/>
          <w:lang w:val="en-US"/>
        </w:rPr>
        <w:t xml:space="preserve">. </w:t>
      </w:r>
      <w:r w:rsidR="00337BF0">
        <w:rPr>
          <w:rFonts w:ascii="Century Schoolbook" w:hAnsi="Century Schoolbook"/>
          <w:lang w:val="en-US"/>
        </w:rPr>
        <w:t>According to these authors</w:t>
      </w:r>
      <w:r w:rsidR="00EF4C58" w:rsidRPr="00333CAF">
        <w:rPr>
          <w:rFonts w:ascii="Century Schoolbook" w:hAnsi="Century Schoolbook"/>
          <w:lang w:val="en-US"/>
        </w:rPr>
        <w:t xml:space="preserve">, </w:t>
      </w:r>
      <w:r w:rsidR="00337BF0">
        <w:rPr>
          <w:rFonts w:ascii="Century Schoolbook" w:hAnsi="Century Schoolbook"/>
          <w:lang w:val="en-US"/>
        </w:rPr>
        <w:t xml:space="preserve">to avoid </w:t>
      </w:r>
      <w:r w:rsidR="00337BF0" w:rsidRPr="00333CAF">
        <w:rPr>
          <w:rFonts w:ascii="Century Schoolbook" w:hAnsi="Century Schoolbook"/>
          <w:lang w:val="en-GB"/>
        </w:rPr>
        <w:t>that whole communit</w:t>
      </w:r>
      <w:r w:rsidR="00337BF0">
        <w:rPr>
          <w:rFonts w:ascii="Century Schoolbook" w:hAnsi="Century Schoolbook"/>
          <w:lang w:val="en-GB"/>
        </w:rPr>
        <w:t>ies are perceived</w:t>
      </w:r>
      <w:r w:rsidR="00337BF0" w:rsidRPr="00333CAF">
        <w:rPr>
          <w:rFonts w:ascii="Century Schoolbook" w:hAnsi="Century Schoolbook"/>
          <w:lang w:val="en-GB"/>
        </w:rPr>
        <w:t xml:space="preserve"> as radicalized because of the actions of single individuals</w:t>
      </w:r>
      <w:r w:rsidR="00337BF0">
        <w:rPr>
          <w:rFonts w:ascii="Century Schoolbook" w:hAnsi="Century Schoolbook"/>
          <w:lang w:val="en-GB"/>
        </w:rPr>
        <w:t xml:space="preserve"> (as in the case of islamophobia</w:t>
      </w:r>
      <w:r w:rsidR="0036021E">
        <w:rPr>
          <w:rFonts w:ascii="Century Schoolbook" w:hAnsi="Century Schoolbook"/>
          <w:lang w:val="en-GB"/>
        </w:rPr>
        <w:t>, as a consequence of the action of radicalized terrorists</w:t>
      </w:r>
      <w:r w:rsidR="00337BF0">
        <w:rPr>
          <w:rFonts w:ascii="Century Schoolbook" w:hAnsi="Century Schoolbook"/>
          <w:lang w:val="en-GB"/>
        </w:rPr>
        <w:t xml:space="preserve">), </w:t>
      </w:r>
      <w:r w:rsidR="003A09BF">
        <w:rPr>
          <w:rFonts w:ascii="Century Schoolbook" w:hAnsi="Century Schoolbook"/>
          <w:lang w:val="en-GB"/>
        </w:rPr>
        <w:t xml:space="preserve">it is crucial to support </w:t>
      </w:r>
      <w:r w:rsidR="00EF4C58" w:rsidRPr="00333CAF">
        <w:rPr>
          <w:rFonts w:ascii="Century Schoolbook" w:hAnsi="Century Schoolbook"/>
          <w:lang w:val="en-US"/>
        </w:rPr>
        <w:t xml:space="preserve">three types of </w:t>
      </w:r>
      <w:r w:rsidR="003A09BF">
        <w:rPr>
          <w:rFonts w:ascii="Century Schoolbook" w:hAnsi="Century Schoolbook"/>
          <w:lang w:val="en-US"/>
        </w:rPr>
        <w:t xml:space="preserve">cooperation initiatives </w:t>
      </w:r>
      <w:r w:rsidR="00EF4C58" w:rsidRPr="00333CAF">
        <w:rPr>
          <w:rFonts w:ascii="Century Schoolbook" w:hAnsi="Century Schoolbook"/>
          <w:lang w:val="en-US"/>
        </w:rPr>
        <w:t>t</w:t>
      </w:r>
      <w:r w:rsidR="00337BF0">
        <w:rPr>
          <w:rFonts w:ascii="Century Schoolbook" w:hAnsi="Century Schoolbook"/>
          <w:lang w:val="en-US"/>
        </w:rPr>
        <w:t>o</w:t>
      </w:r>
      <w:r w:rsidR="00EF4C58" w:rsidRPr="00333CAF">
        <w:rPr>
          <w:rFonts w:ascii="Century Schoolbook" w:hAnsi="Century Schoolbook"/>
          <w:lang w:val="en-US"/>
        </w:rPr>
        <w:t xml:space="preserve"> ensure intercultural interaction</w:t>
      </w:r>
      <w:r w:rsidR="0036021E">
        <w:rPr>
          <w:rFonts w:ascii="Century Schoolbook" w:hAnsi="Century Schoolbook"/>
          <w:lang w:val="en-US"/>
        </w:rPr>
        <w:t>s</w:t>
      </w:r>
      <w:r w:rsidR="00EF4C58" w:rsidRPr="00333CAF">
        <w:rPr>
          <w:rFonts w:ascii="Century Schoolbook" w:hAnsi="Century Schoolbook"/>
          <w:lang w:val="en-US"/>
        </w:rPr>
        <w:t xml:space="preserve"> and mutual understanding</w:t>
      </w:r>
      <w:r w:rsidR="00337BF0">
        <w:rPr>
          <w:rFonts w:ascii="Century Schoolbook" w:hAnsi="Century Schoolbook"/>
          <w:lang w:val="en-US"/>
        </w:rPr>
        <w:t>:</w:t>
      </w:r>
      <w:r w:rsidR="00EF4C58" w:rsidRPr="00333CAF">
        <w:rPr>
          <w:rFonts w:ascii="Century Schoolbook" w:hAnsi="Century Schoolbook"/>
          <w:lang w:val="en-US"/>
        </w:rPr>
        <w:t xml:space="preserve"> fostering media literacy, promoting tolerant educational systems and supporting youth-led dialogue</w:t>
      </w:r>
      <w:r w:rsidR="00337BF0">
        <w:rPr>
          <w:rFonts w:ascii="Century Schoolbook" w:hAnsi="Century Schoolbook"/>
          <w:lang w:val="en-US"/>
        </w:rPr>
        <w:t xml:space="preserve"> (id., 40-41)</w:t>
      </w:r>
      <w:r w:rsidR="00EF4C58" w:rsidRPr="00333CAF">
        <w:rPr>
          <w:rFonts w:ascii="Century Schoolbook" w:hAnsi="Century Schoolbook"/>
          <w:lang w:val="en-US"/>
        </w:rPr>
        <w:t>.</w:t>
      </w:r>
      <w:r w:rsidR="00337BF0">
        <w:rPr>
          <w:rFonts w:ascii="Century Schoolbook" w:hAnsi="Century Schoolbook"/>
          <w:lang w:val="en-US"/>
        </w:rPr>
        <w:t xml:space="preserve"> It is interesting to notice that the respondents showed a strong support </w:t>
      </w:r>
      <w:r w:rsidR="003A09BF">
        <w:rPr>
          <w:rFonts w:ascii="Century Schoolbook" w:hAnsi="Century Schoolbook"/>
          <w:lang w:val="en-US"/>
        </w:rPr>
        <w:t xml:space="preserve">for similar </w:t>
      </w:r>
      <w:r w:rsidR="00337BF0">
        <w:rPr>
          <w:rFonts w:ascii="Century Schoolbook" w:hAnsi="Century Schoolbook"/>
          <w:lang w:val="en-US"/>
        </w:rPr>
        <w:t>measures involving education and youth</w:t>
      </w:r>
      <w:r w:rsidR="003A09BF">
        <w:rPr>
          <w:rFonts w:ascii="Century Schoolbook" w:hAnsi="Century Schoolbook"/>
          <w:lang w:val="en-US"/>
        </w:rPr>
        <w:t>. In fact</w:t>
      </w:r>
      <w:r w:rsidR="00337BF0">
        <w:rPr>
          <w:rFonts w:ascii="Century Schoolbook" w:hAnsi="Century Schoolbook"/>
          <w:lang w:val="en-US"/>
        </w:rPr>
        <w:t xml:space="preserve">, </w:t>
      </w:r>
      <w:r w:rsidR="00244EC6">
        <w:rPr>
          <w:rFonts w:ascii="Century Schoolbook" w:hAnsi="Century Schoolbook"/>
          <w:lang w:val="en-US"/>
        </w:rPr>
        <w:t xml:space="preserve">both </w:t>
      </w:r>
      <w:r w:rsidR="00244EC6" w:rsidRPr="00244EC6">
        <w:rPr>
          <w:rFonts w:ascii="Century Schoolbook" w:hAnsi="Century Schoolbook"/>
          <w:lang w:val="en-US"/>
        </w:rPr>
        <w:t xml:space="preserve">in European and SEM countries </w:t>
      </w:r>
      <w:r w:rsidR="0036021E">
        <w:rPr>
          <w:rFonts w:ascii="Century Schoolbook" w:hAnsi="Century Schoolbook"/>
          <w:lang w:val="en-US"/>
        </w:rPr>
        <w:t>initiatives</w:t>
      </w:r>
      <w:r w:rsidR="00244EC6" w:rsidRPr="00244EC6">
        <w:rPr>
          <w:rFonts w:ascii="Century Schoolbook" w:hAnsi="Century Schoolbook"/>
          <w:lang w:val="en-US"/>
        </w:rPr>
        <w:t xml:space="preserve"> that involve the participation of young people – such as education and youth program</w:t>
      </w:r>
      <w:r w:rsidR="00244EC6">
        <w:rPr>
          <w:rFonts w:ascii="Century Schoolbook" w:hAnsi="Century Schoolbook"/>
          <w:lang w:val="en-US"/>
        </w:rPr>
        <w:t>s</w:t>
      </w:r>
      <w:r w:rsidR="00244EC6" w:rsidRPr="00244EC6">
        <w:rPr>
          <w:rFonts w:ascii="Century Schoolbook" w:hAnsi="Century Schoolbook"/>
          <w:lang w:val="en-US"/>
        </w:rPr>
        <w:t xml:space="preserve"> to foster youth-led dialogue initiatives, support of youth participation in public life and exchange programs – are considered efficient in contrasting radicalization, as the contribution by Özerdem displays</w:t>
      </w:r>
      <w:r w:rsidR="00244EC6">
        <w:rPr>
          <w:rFonts w:ascii="Century Schoolbook" w:hAnsi="Century Schoolbook"/>
          <w:lang w:val="en-US"/>
        </w:rPr>
        <w:t xml:space="preserve"> (2018, 45)</w:t>
      </w:r>
      <w:r w:rsidR="00244EC6" w:rsidRPr="00244EC6">
        <w:rPr>
          <w:rFonts w:ascii="Century Schoolbook" w:hAnsi="Century Schoolbook"/>
          <w:lang w:val="en-US"/>
        </w:rPr>
        <w:t>.</w:t>
      </w:r>
    </w:p>
    <w:p w14:paraId="17DDC0B8" w14:textId="70266EC0" w:rsidR="00EF4C58" w:rsidRDefault="006426FA" w:rsidP="00EF4C58">
      <w:pPr>
        <w:spacing w:line="360" w:lineRule="auto"/>
        <w:jc w:val="both"/>
        <w:rPr>
          <w:rFonts w:ascii="Century Schoolbook" w:hAnsi="Century Schoolbook"/>
          <w:lang w:val="en-GB"/>
        </w:rPr>
      </w:pPr>
      <w:r>
        <w:rPr>
          <w:rFonts w:ascii="Century Schoolbook" w:hAnsi="Century Schoolbook"/>
          <w:lang w:val="en-US"/>
        </w:rPr>
        <w:t xml:space="preserve">At this point is, therefore, the case of </w:t>
      </w:r>
      <w:r w:rsidR="0036021E">
        <w:rPr>
          <w:rFonts w:ascii="Century Schoolbook" w:hAnsi="Century Schoolbook"/>
          <w:lang w:val="en-US"/>
        </w:rPr>
        <w:t xml:space="preserve">Jordan is investigated, since it represents </w:t>
      </w:r>
      <w:r>
        <w:rPr>
          <w:rFonts w:ascii="Century Schoolbook" w:hAnsi="Century Schoolbook"/>
          <w:lang w:val="en-US"/>
        </w:rPr>
        <w:t xml:space="preserve">a country </w:t>
      </w:r>
      <w:r w:rsidR="0036021E">
        <w:rPr>
          <w:rFonts w:ascii="Century Schoolbook" w:hAnsi="Century Schoolbook"/>
          <w:lang w:val="en-US"/>
        </w:rPr>
        <w:t>with</w:t>
      </w:r>
      <w:r>
        <w:rPr>
          <w:rFonts w:ascii="Century Schoolbook" w:hAnsi="Century Schoolbook"/>
          <w:lang w:val="en-US"/>
        </w:rPr>
        <w:t xml:space="preserve"> a unique relation with cultural diversity. As</w:t>
      </w:r>
      <w:r w:rsidR="00244EC6" w:rsidRPr="00244EC6">
        <w:rPr>
          <w:lang w:val="en-GB"/>
        </w:rPr>
        <w:t xml:space="preserve"> </w:t>
      </w:r>
      <w:r w:rsidR="00244EC6" w:rsidRPr="00244EC6">
        <w:rPr>
          <w:rFonts w:ascii="Century Schoolbook" w:hAnsi="Century Schoolbook"/>
          <w:lang w:val="en-GB"/>
        </w:rPr>
        <w:t>Tabba and Almasri</w:t>
      </w:r>
      <w:r>
        <w:rPr>
          <w:rFonts w:ascii="Century Schoolbook" w:hAnsi="Century Schoolbook"/>
          <w:lang w:val="en-GB"/>
        </w:rPr>
        <w:t xml:space="preserve"> present, </w:t>
      </w:r>
      <w:r w:rsidR="003A09BF">
        <w:rPr>
          <w:rFonts w:ascii="Century Schoolbook" w:hAnsi="Century Schoolbook"/>
          <w:lang w:val="en-GB"/>
        </w:rPr>
        <w:t>particularly</w:t>
      </w:r>
      <w:r>
        <w:rPr>
          <w:rFonts w:ascii="Century Schoolbook" w:hAnsi="Century Schoolbook"/>
          <w:lang w:val="en-GB"/>
        </w:rPr>
        <w:t xml:space="preserve"> since the </w:t>
      </w:r>
      <w:r>
        <w:rPr>
          <w:rFonts w:ascii="Century Schoolbook" w:hAnsi="Century Schoolbook"/>
          <w:lang w:val="en-GB"/>
        </w:rPr>
        <w:lastRenderedPageBreak/>
        <w:t xml:space="preserve">Syrian </w:t>
      </w:r>
      <w:r w:rsidR="0036021E">
        <w:rPr>
          <w:rFonts w:ascii="Century Schoolbook" w:hAnsi="Century Schoolbook"/>
          <w:lang w:val="en-GB"/>
        </w:rPr>
        <w:t xml:space="preserve">Civil </w:t>
      </w:r>
      <w:r>
        <w:rPr>
          <w:rFonts w:ascii="Century Schoolbook" w:hAnsi="Century Schoolbook"/>
          <w:lang w:val="en-GB"/>
        </w:rPr>
        <w:t xml:space="preserve">War, Jordan is hosting a high number of refugees and has experienced a decrease of economic opportunities especially for young people: while the percentage of Jordanians strongly believing that </w:t>
      </w:r>
      <w:r w:rsidRPr="006426FA">
        <w:rPr>
          <w:rFonts w:ascii="Century Schoolbook" w:hAnsi="Century Schoolbook"/>
          <w:lang w:val="en-GB"/>
        </w:rPr>
        <w:t>people from different cultur</w:t>
      </w:r>
      <w:r w:rsidR="0036021E">
        <w:rPr>
          <w:rFonts w:ascii="Century Schoolbook" w:hAnsi="Century Schoolbook"/>
          <w:lang w:val="en-GB"/>
        </w:rPr>
        <w:t>al and religious backgrounds</w:t>
      </w:r>
      <w:r w:rsidRPr="006426FA">
        <w:rPr>
          <w:rFonts w:ascii="Century Schoolbook" w:hAnsi="Century Schoolbook"/>
          <w:lang w:val="en-GB"/>
        </w:rPr>
        <w:t xml:space="preserve"> </w:t>
      </w:r>
      <w:r w:rsidR="007D19E6">
        <w:rPr>
          <w:rFonts w:ascii="Century Schoolbook" w:hAnsi="Century Schoolbook"/>
          <w:lang w:val="en-GB"/>
        </w:rPr>
        <w:t xml:space="preserve">should </w:t>
      </w:r>
      <w:r w:rsidRPr="006426FA">
        <w:rPr>
          <w:rFonts w:ascii="Century Schoolbook" w:hAnsi="Century Schoolbook"/>
          <w:lang w:val="en-GB"/>
        </w:rPr>
        <w:t>have the same rights and opportunities</w:t>
      </w:r>
      <w:r>
        <w:rPr>
          <w:rFonts w:ascii="Century Schoolbook" w:hAnsi="Century Schoolbook"/>
          <w:lang w:val="en-GB"/>
        </w:rPr>
        <w:t xml:space="preserve"> </w:t>
      </w:r>
      <w:r w:rsidR="008922DB">
        <w:rPr>
          <w:rFonts w:ascii="Century Schoolbook" w:hAnsi="Century Schoolbook"/>
          <w:lang w:val="en-GB"/>
        </w:rPr>
        <w:t>(56%)</w:t>
      </w:r>
      <w:r>
        <w:rPr>
          <w:rFonts w:ascii="Century Schoolbook" w:hAnsi="Century Schoolbook"/>
          <w:lang w:val="en-GB"/>
        </w:rPr>
        <w:t xml:space="preserve"> is slightly lower than the SEM average (</w:t>
      </w:r>
      <w:r w:rsidR="008922DB">
        <w:rPr>
          <w:rFonts w:ascii="Century Schoolbook" w:hAnsi="Century Schoolbook"/>
          <w:lang w:val="en-GB"/>
        </w:rPr>
        <w:t>58%</w:t>
      </w:r>
      <w:r>
        <w:rPr>
          <w:rFonts w:ascii="Century Schoolbook" w:hAnsi="Century Schoolbook"/>
          <w:lang w:val="en-GB"/>
        </w:rPr>
        <w:t>)</w:t>
      </w:r>
      <w:r w:rsidR="008922DB">
        <w:rPr>
          <w:rFonts w:ascii="Century Schoolbook" w:hAnsi="Century Schoolbook"/>
          <w:lang w:val="en-GB"/>
        </w:rPr>
        <w:t xml:space="preserve">, Jordanians strongly disagreeing that diversity is a threat to societal stability (41%) and </w:t>
      </w:r>
      <w:r w:rsidR="007D19E6">
        <w:rPr>
          <w:rFonts w:ascii="Century Schoolbook" w:hAnsi="Century Schoolbook"/>
          <w:lang w:val="en-GB"/>
        </w:rPr>
        <w:t xml:space="preserve">instead </w:t>
      </w:r>
      <w:r w:rsidR="008922DB">
        <w:rPr>
          <w:rFonts w:ascii="Century Schoolbook" w:hAnsi="Century Schoolbook"/>
          <w:lang w:val="en-GB"/>
        </w:rPr>
        <w:t xml:space="preserve">strongly agreeing that diversity is important for prosperity (64%), </w:t>
      </w:r>
      <w:r w:rsidR="007D19E6">
        <w:rPr>
          <w:rFonts w:ascii="Century Schoolbook" w:hAnsi="Century Schoolbook"/>
          <w:lang w:val="en-GB"/>
        </w:rPr>
        <w:t>reflect</w:t>
      </w:r>
      <w:r w:rsidR="008922DB">
        <w:rPr>
          <w:rFonts w:ascii="Century Schoolbook" w:hAnsi="Century Schoolbook"/>
          <w:lang w:val="en-GB"/>
        </w:rPr>
        <w:t xml:space="preserve"> </w:t>
      </w:r>
      <w:r w:rsidR="0036021E">
        <w:rPr>
          <w:rFonts w:ascii="Century Schoolbook" w:hAnsi="Century Schoolbook"/>
          <w:lang w:val="en-GB"/>
        </w:rPr>
        <w:t xml:space="preserve">a </w:t>
      </w:r>
      <w:r w:rsidR="008922DB">
        <w:rPr>
          <w:rFonts w:ascii="Century Schoolbook" w:hAnsi="Century Schoolbook"/>
          <w:lang w:val="en-GB"/>
        </w:rPr>
        <w:t xml:space="preserve">more tolerant </w:t>
      </w:r>
      <w:r w:rsidR="007D19E6">
        <w:rPr>
          <w:rFonts w:ascii="Century Schoolbook" w:hAnsi="Century Schoolbook"/>
          <w:lang w:val="en-GB"/>
        </w:rPr>
        <w:t>image</w:t>
      </w:r>
      <w:r w:rsidR="008922DB">
        <w:rPr>
          <w:rFonts w:ascii="Century Schoolbook" w:hAnsi="Century Schoolbook"/>
          <w:lang w:val="en-GB"/>
        </w:rPr>
        <w:t xml:space="preserve"> than the </w:t>
      </w:r>
      <w:r w:rsidR="0036021E">
        <w:rPr>
          <w:rFonts w:ascii="Century Schoolbook" w:hAnsi="Century Schoolbook"/>
          <w:lang w:val="en-GB"/>
        </w:rPr>
        <w:t xml:space="preserve">one depicted by </w:t>
      </w:r>
      <w:r w:rsidR="008922DB">
        <w:rPr>
          <w:rFonts w:ascii="Century Schoolbook" w:hAnsi="Century Schoolbook"/>
          <w:lang w:val="en-GB"/>
        </w:rPr>
        <w:t>SEM (29% and 51%) and European averages (40% and 36%), showing a particular openness to cultural diversity (2018, 106-108).</w:t>
      </w:r>
    </w:p>
    <w:p w14:paraId="19D947B2" w14:textId="35C0946B" w:rsidR="00EF4C58" w:rsidRPr="00CD0EA5" w:rsidRDefault="0036021E" w:rsidP="009025DF">
      <w:pPr>
        <w:spacing w:line="360" w:lineRule="auto"/>
        <w:jc w:val="both"/>
        <w:rPr>
          <w:rFonts w:ascii="Century Schoolbook" w:hAnsi="Century Schoolbook"/>
          <w:lang w:val="en-GB"/>
        </w:rPr>
      </w:pPr>
      <w:r>
        <w:rPr>
          <w:rFonts w:ascii="Century Schoolbook" w:hAnsi="Century Schoolbook"/>
          <w:lang w:val="en-GB"/>
        </w:rPr>
        <w:t>It is, therefore</w:t>
      </w:r>
      <w:r w:rsidR="00EF4C58" w:rsidRPr="00585661">
        <w:rPr>
          <w:rFonts w:ascii="Century Schoolbook" w:hAnsi="Century Schoolbook"/>
          <w:lang w:val="en-GB"/>
        </w:rPr>
        <w:t>,</w:t>
      </w:r>
      <w:r>
        <w:rPr>
          <w:rFonts w:ascii="Century Schoolbook" w:hAnsi="Century Schoolbook"/>
          <w:lang w:val="en-GB"/>
        </w:rPr>
        <w:t xml:space="preserve"> evident that the Mediterranean is facing a</w:t>
      </w:r>
      <w:r w:rsidRPr="0036021E">
        <w:rPr>
          <w:rFonts w:ascii="Century Schoolbook" w:hAnsi="Century Schoolbook"/>
          <w:lang w:val="en-GB"/>
        </w:rPr>
        <w:t xml:space="preserve"> challenge </w:t>
      </w:r>
      <w:r>
        <w:rPr>
          <w:rFonts w:ascii="Century Schoolbook" w:hAnsi="Century Schoolbook"/>
          <w:lang w:val="en-GB"/>
        </w:rPr>
        <w:t>regarding</w:t>
      </w:r>
      <w:r w:rsidRPr="0036021E">
        <w:rPr>
          <w:rFonts w:ascii="Century Schoolbook" w:hAnsi="Century Schoolbook"/>
          <w:lang w:val="en-GB"/>
        </w:rPr>
        <w:t xml:space="preserve"> multicultural coexistence</w:t>
      </w:r>
      <w:r>
        <w:rPr>
          <w:rFonts w:ascii="Century Schoolbook" w:hAnsi="Century Schoolbook"/>
          <w:lang w:val="en-GB"/>
        </w:rPr>
        <w:t>. In this sense,</w:t>
      </w:r>
      <w:r w:rsidR="00EF4C58" w:rsidRPr="00585661">
        <w:rPr>
          <w:rFonts w:ascii="Century Schoolbook" w:hAnsi="Century Schoolbook"/>
          <w:lang w:val="en-GB"/>
        </w:rPr>
        <w:t xml:space="preserve"> </w:t>
      </w:r>
      <w:r w:rsidR="00CD0EA5" w:rsidRPr="00585661">
        <w:rPr>
          <w:rFonts w:ascii="Century Schoolbook" w:hAnsi="Century Schoolbook"/>
          <w:lang w:val="en-GB"/>
        </w:rPr>
        <w:t>Moschis-Gauguet explains that diversity can become a source of prosperity when it is well managed</w:t>
      </w:r>
      <w:r w:rsidR="003A09BF">
        <w:rPr>
          <w:rFonts w:ascii="Century Schoolbook" w:hAnsi="Century Schoolbook"/>
          <w:lang w:val="en-GB"/>
        </w:rPr>
        <w:t>,</w:t>
      </w:r>
      <w:r w:rsidR="00CD0EA5" w:rsidRPr="00585661">
        <w:rPr>
          <w:rFonts w:ascii="Century Schoolbook" w:hAnsi="Century Schoolbook"/>
          <w:lang w:val="en-GB"/>
        </w:rPr>
        <w:t xml:space="preserve"> but </w:t>
      </w:r>
      <w:r w:rsidR="003A09BF">
        <w:rPr>
          <w:rFonts w:ascii="Century Schoolbook" w:hAnsi="Century Schoolbook"/>
          <w:lang w:val="en-GB"/>
        </w:rPr>
        <w:t>is</w:t>
      </w:r>
      <w:r w:rsidR="00CD0EA5" w:rsidRPr="00585661">
        <w:rPr>
          <w:rFonts w:ascii="Century Schoolbook" w:hAnsi="Century Schoolbook"/>
          <w:lang w:val="en-GB"/>
        </w:rPr>
        <w:t xml:space="preserve"> perceived as a threat if badly managed</w:t>
      </w:r>
      <w:r w:rsidR="00CD0EA5">
        <w:rPr>
          <w:rFonts w:ascii="Century Schoolbook" w:hAnsi="Century Schoolbook"/>
          <w:lang w:val="en-GB"/>
        </w:rPr>
        <w:t xml:space="preserve">: </w:t>
      </w:r>
      <w:r w:rsidR="003A09BF">
        <w:rPr>
          <w:rFonts w:ascii="Century Schoolbook" w:hAnsi="Century Schoolbook"/>
          <w:lang w:val="en-GB"/>
        </w:rPr>
        <w:t>the majority</w:t>
      </w:r>
      <w:r w:rsidR="00EF4C58" w:rsidRPr="00585661">
        <w:rPr>
          <w:rFonts w:ascii="Century Schoolbook" w:hAnsi="Century Schoolbook"/>
          <w:lang w:val="en-GB"/>
        </w:rPr>
        <w:t xml:space="preserve"> Europeans (71%) and SEM respondents (72%) strongly or somewhat agree that diversity is a source of prosperity, but at the same time many Europeans (36%) and SEM respondents (54%) strongly or somewhat agree that diversity is a threat to society</w:t>
      </w:r>
      <w:r w:rsidR="00CD0EA5">
        <w:rPr>
          <w:rFonts w:ascii="Century Schoolbook" w:hAnsi="Century Schoolbook"/>
          <w:lang w:val="en-GB"/>
        </w:rPr>
        <w:t xml:space="preserve"> (2018, 48-49). </w:t>
      </w:r>
      <w:r w:rsidR="00CD0EA5" w:rsidRPr="00585661">
        <w:rPr>
          <w:rFonts w:ascii="Century Schoolbook" w:hAnsi="Century Schoolbook"/>
          <w:lang w:val="en-GB"/>
        </w:rPr>
        <w:t xml:space="preserve">How to live in </w:t>
      </w:r>
      <w:r w:rsidR="00CD0EA5">
        <w:rPr>
          <w:rFonts w:ascii="Century Schoolbook" w:hAnsi="Century Schoolbook"/>
          <w:lang w:val="en-GB"/>
        </w:rPr>
        <w:t xml:space="preserve">multicultural </w:t>
      </w:r>
      <w:r w:rsidR="00CD0EA5" w:rsidRPr="00585661">
        <w:rPr>
          <w:rFonts w:ascii="Century Schoolbook" w:hAnsi="Century Schoolbook"/>
          <w:lang w:val="en-GB"/>
        </w:rPr>
        <w:t>cultural environments, then</w:t>
      </w:r>
      <w:r w:rsidR="00CD0EA5">
        <w:rPr>
          <w:rFonts w:ascii="Century Schoolbook" w:hAnsi="Century Schoolbook"/>
          <w:lang w:val="en-GB"/>
        </w:rPr>
        <w:t>? The people interviewed</w:t>
      </w:r>
      <w:r w:rsidR="00EF4C58" w:rsidRPr="00CD0EA5">
        <w:rPr>
          <w:rFonts w:ascii="Century Schoolbook" w:hAnsi="Century Schoolbook"/>
          <w:lang w:val="en-GB"/>
        </w:rPr>
        <w:t xml:space="preserve"> support a wide set of actions </w:t>
      </w:r>
      <w:r w:rsidR="00CD0EA5">
        <w:rPr>
          <w:rFonts w:ascii="Century Schoolbook" w:hAnsi="Century Schoolbook"/>
          <w:lang w:val="en-GB"/>
        </w:rPr>
        <w:t>for this goal</w:t>
      </w:r>
      <w:r w:rsidR="00EF4C58" w:rsidRPr="00CD0EA5">
        <w:rPr>
          <w:rFonts w:ascii="Century Schoolbook" w:hAnsi="Century Schoolbook"/>
          <w:lang w:val="en-GB"/>
        </w:rPr>
        <w:t xml:space="preserve">: education is crucial, but multicultural events and expression of cultural </w:t>
      </w:r>
      <w:r w:rsidR="007D19E6">
        <w:rPr>
          <w:rFonts w:ascii="Century Schoolbook" w:hAnsi="Century Schoolbook"/>
          <w:lang w:val="en-GB"/>
        </w:rPr>
        <w:t>identity</w:t>
      </w:r>
      <w:r w:rsidR="00EF4C58" w:rsidRPr="00CD0EA5">
        <w:rPr>
          <w:rFonts w:ascii="Century Schoolbook" w:hAnsi="Century Schoolbook"/>
          <w:lang w:val="en-GB"/>
        </w:rPr>
        <w:t xml:space="preserve"> in public spaces are sustained, too</w:t>
      </w:r>
      <w:r w:rsidR="00CD0EA5">
        <w:rPr>
          <w:rFonts w:ascii="Century Schoolbook" w:hAnsi="Century Schoolbook"/>
          <w:lang w:val="en-GB"/>
        </w:rPr>
        <w:t xml:space="preserve"> (id., 50)</w:t>
      </w:r>
      <w:r w:rsidR="00EF4C58" w:rsidRPr="00CD0EA5">
        <w:rPr>
          <w:rFonts w:ascii="Century Schoolbook" w:hAnsi="Century Schoolbook"/>
          <w:lang w:val="en-GB"/>
        </w:rPr>
        <w:t xml:space="preserve">. </w:t>
      </w:r>
      <w:r w:rsidR="00CD0EA5">
        <w:rPr>
          <w:rFonts w:ascii="Century Schoolbook" w:hAnsi="Century Schoolbook"/>
          <w:lang w:val="en-GB"/>
        </w:rPr>
        <w:t xml:space="preserve">This reflect, once again, that initiatives that involve the youth are particularly appreciated. </w:t>
      </w:r>
      <w:r w:rsidR="00CD0EA5" w:rsidRPr="00CD0EA5">
        <w:rPr>
          <w:rFonts w:ascii="Century Schoolbook" w:hAnsi="Century Schoolbook"/>
          <w:lang w:val="en-GB"/>
        </w:rPr>
        <w:t xml:space="preserve">Moschis-Gauguet </w:t>
      </w:r>
      <w:r w:rsidR="00CD0EA5">
        <w:rPr>
          <w:rFonts w:ascii="Century Schoolbook" w:hAnsi="Century Schoolbook"/>
          <w:lang w:val="en-GB"/>
        </w:rPr>
        <w:t>also highlights that t</w:t>
      </w:r>
      <w:r w:rsidR="00EF4C58" w:rsidRPr="00CD0EA5">
        <w:rPr>
          <w:rFonts w:ascii="Century Schoolbook" w:hAnsi="Century Schoolbook"/>
          <w:lang w:val="en-GB"/>
        </w:rPr>
        <w:t>his kind of actions are perfect to be performed in intercultural cities</w:t>
      </w:r>
      <w:r w:rsidR="00CD0EA5">
        <w:rPr>
          <w:rFonts w:ascii="Century Schoolbook" w:hAnsi="Century Schoolbook"/>
          <w:lang w:val="en-GB"/>
        </w:rPr>
        <w:t>: in fact</w:t>
      </w:r>
      <w:r w:rsidR="00EF4C58" w:rsidRPr="00CD0EA5">
        <w:rPr>
          <w:rFonts w:ascii="Century Schoolbook" w:hAnsi="Century Schoolbook"/>
          <w:lang w:val="en-GB"/>
        </w:rPr>
        <w:t>, cities are laboratories for cross</w:t>
      </w:r>
      <w:r w:rsidR="007D19E6">
        <w:rPr>
          <w:rFonts w:ascii="Century Schoolbook" w:hAnsi="Century Schoolbook"/>
          <w:lang w:val="en-GB"/>
        </w:rPr>
        <w:t>-</w:t>
      </w:r>
      <w:r w:rsidR="00EF4C58" w:rsidRPr="00CD0EA5">
        <w:rPr>
          <w:rFonts w:ascii="Century Schoolbook" w:hAnsi="Century Schoolbook"/>
          <w:lang w:val="en-GB"/>
        </w:rPr>
        <w:t xml:space="preserve">cultural fertilization, and it is </w:t>
      </w:r>
      <w:r w:rsidR="003A09BF">
        <w:rPr>
          <w:rFonts w:ascii="Century Schoolbook" w:hAnsi="Century Schoolbook"/>
          <w:lang w:val="en-GB"/>
        </w:rPr>
        <w:t>possible</w:t>
      </w:r>
      <w:r w:rsidR="00EF4C58" w:rsidRPr="00CD0EA5">
        <w:rPr>
          <w:rFonts w:ascii="Century Schoolbook" w:hAnsi="Century Schoolbook"/>
          <w:lang w:val="en-GB"/>
        </w:rPr>
        <w:t xml:space="preserve"> to take advantage of their public spaces to promote dialogue, especially through artistic and creative initiative</w:t>
      </w:r>
      <w:r w:rsidR="00CD0EA5">
        <w:rPr>
          <w:rFonts w:ascii="Century Schoolbook" w:hAnsi="Century Schoolbook"/>
          <w:lang w:val="en-GB"/>
        </w:rPr>
        <w:t>s</w:t>
      </w:r>
      <w:r w:rsidR="003A09BF">
        <w:rPr>
          <w:rFonts w:ascii="Century Schoolbook" w:hAnsi="Century Schoolbook"/>
          <w:lang w:val="en-GB"/>
        </w:rPr>
        <w:t xml:space="preserve">, while </w:t>
      </w:r>
      <w:r w:rsidR="00EF4C58" w:rsidRPr="00CD0EA5">
        <w:rPr>
          <w:rFonts w:ascii="Century Schoolbook" w:hAnsi="Century Schoolbook"/>
          <w:lang w:val="en-GB"/>
        </w:rPr>
        <w:t>connections among cities in crucial areas – as education, art, civil society and migration – can be very useful</w:t>
      </w:r>
      <w:r w:rsidR="00CD0EA5">
        <w:rPr>
          <w:rFonts w:ascii="Century Schoolbook" w:hAnsi="Century Schoolbook"/>
          <w:lang w:val="en-GB"/>
        </w:rPr>
        <w:t xml:space="preserve"> (2018, 50-51). </w:t>
      </w:r>
      <w:r w:rsidR="009025DF">
        <w:rPr>
          <w:rFonts w:ascii="Century Schoolbook" w:hAnsi="Century Schoolbook"/>
          <w:lang w:val="en-GB"/>
        </w:rPr>
        <w:t>For this reason, the institution of the “</w:t>
      </w:r>
      <w:r w:rsidR="009025DF" w:rsidRPr="009025DF">
        <w:rPr>
          <w:rFonts w:ascii="Century Schoolbook" w:hAnsi="Century Schoolbook"/>
          <w:lang w:val="en-GB"/>
        </w:rPr>
        <w:t>Euro-Mediterranean Capital</w:t>
      </w:r>
      <w:r w:rsidR="009025DF">
        <w:rPr>
          <w:rFonts w:ascii="Century Schoolbook" w:hAnsi="Century Schoolbook"/>
          <w:lang w:val="en-GB"/>
        </w:rPr>
        <w:t xml:space="preserve"> </w:t>
      </w:r>
      <w:r w:rsidR="009025DF" w:rsidRPr="009025DF">
        <w:rPr>
          <w:rFonts w:ascii="Century Schoolbook" w:hAnsi="Century Schoolbook"/>
          <w:lang w:val="en-GB"/>
        </w:rPr>
        <w:t>of Dialogue Award</w:t>
      </w:r>
      <w:r w:rsidR="009025DF">
        <w:rPr>
          <w:rFonts w:ascii="Century Schoolbook" w:hAnsi="Century Schoolbook"/>
          <w:lang w:val="en-GB"/>
        </w:rPr>
        <w:t>” is proposed to promote such developments</w:t>
      </w:r>
      <w:r w:rsidR="003A09BF">
        <w:rPr>
          <w:rFonts w:ascii="Century Schoolbook" w:hAnsi="Century Schoolbook"/>
          <w:lang w:val="en-GB"/>
        </w:rPr>
        <w:t xml:space="preserve"> (ibid.)</w:t>
      </w:r>
      <w:r w:rsidR="009025DF">
        <w:rPr>
          <w:rFonts w:ascii="Century Schoolbook" w:hAnsi="Century Schoolbook"/>
          <w:lang w:val="en-GB"/>
        </w:rPr>
        <w:t xml:space="preserve">. </w:t>
      </w:r>
    </w:p>
    <w:p w14:paraId="19440B27" w14:textId="77D3EBAD" w:rsidR="00BF7043" w:rsidRDefault="009025DF" w:rsidP="00EF4C58">
      <w:pPr>
        <w:spacing w:line="360" w:lineRule="auto"/>
        <w:jc w:val="both"/>
        <w:rPr>
          <w:rFonts w:ascii="Century Schoolbook" w:hAnsi="Century Schoolbook"/>
          <w:lang w:val="en-GB"/>
        </w:rPr>
      </w:pPr>
      <w:r>
        <w:rPr>
          <w:rFonts w:ascii="Century Schoolbook" w:hAnsi="Century Schoolbook"/>
          <w:lang w:val="en-GB"/>
        </w:rPr>
        <w:t>Finally, it can be interesting to consider t</w:t>
      </w:r>
      <w:r w:rsidR="00EF4C58" w:rsidRPr="009025DF">
        <w:rPr>
          <w:rFonts w:ascii="Century Schoolbook" w:hAnsi="Century Schoolbook"/>
          <w:lang w:val="en-GB"/>
        </w:rPr>
        <w:t>he case of Italy</w:t>
      </w:r>
      <w:r w:rsidR="003F2A3E">
        <w:rPr>
          <w:rFonts w:ascii="Century Schoolbook" w:hAnsi="Century Schoolbook"/>
          <w:lang w:val="en-GB"/>
        </w:rPr>
        <w:t xml:space="preserve"> to examine the challenges of intercultural coexistences posed by new events</w:t>
      </w:r>
      <w:r>
        <w:rPr>
          <w:rFonts w:ascii="Century Schoolbook" w:hAnsi="Century Schoolbook"/>
          <w:lang w:val="en-GB"/>
        </w:rPr>
        <w:t>. A</w:t>
      </w:r>
      <w:r w:rsidRPr="009025DF">
        <w:rPr>
          <w:rFonts w:ascii="Century Schoolbook" w:hAnsi="Century Schoolbook"/>
          <w:lang w:val="en-GB"/>
        </w:rPr>
        <w:t>ccording to Chaouki</w:t>
      </w:r>
      <w:r>
        <w:rPr>
          <w:rFonts w:ascii="Century Schoolbook" w:hAnsi="Century Schoolbook"/>
          <w:lang w:val="en-GB"/>
        </w:rPr>
        <w:t>’s analysis, a</w:t>
      </w:r>
      <w:r w:rsidR="00EF4C58" w:rsidRPr="00333CAF">
        <w:rPr>
          <w:rFonts w:ascii="Century Schoolbook" w:hAnsi="Century Schoolbook"/>
          <w:lang w:val="en-GB"/>
        </w:rPr>
        <w:t>s a consequence of the rise of migratory flows towards Europe, the perception of the Mediterranean in Italy changed</w:t>
      </w:r>
      <w:r>
        <w:rPr>
          <w:rFonts w:ascii="Century Schoolbook" w:hAnsi="Century Schoolbook"/>
          <w:lang w:val="en-GB"/>
        </w:rPr>
        <w:t>:</w:t>
      </w:r>
      <w:r w:rsidR="00EF4C58" w:rsidRPr="009025DF">
        <w:rPr>
          <w:rFonts w:ascii="Century Schoolbook" w:hAnsi="Century Schoolbook"/>
          <w:lang w:val="en-GB"/>
        </w:rPr>
        <w:t xml:space="preserve"> while the number of Italians strongly associating the Mediterranean with hospitality remained stable between 2012 (50%) and 2016 (49%), Italians strongly associating the Mediterranean with conflict grew from 24% to 33%</w:t>
      </w:r>
      <w:r>
        <w:rPr>
          <w:rFonts w:ascii="Century Schoolbook" w:hAnsi="Century Schoolbook"/>
          <w:lang w:val="en-GB"/>
        </w:rPr>
        <w:t xml:space="preserve"> (2018, 102)</w:t>
      </w:r>
      <w:r w:rsidR="00EF4C58" w:rsidRPr="009025DF">
        <w:rPr>
          <w:rFonts w:ascii="Century Schoolbook" w:hAnsi="Century Schoolbook"/>
          <w:lang w:val="en-GB"/>
        </w:rPr>
        <w:t>.</w:t>
      </w:r>
      <w:r>
        <w:rPr>
          <w:rFonts w:ascii="Century Schoolbook" w:hAnsi="Century Schoolbook"/>
          <w:lang w:val="en-GB"/>
        </w:rPr>
        <w:t xml:space="preserve"> </w:t>
      </w:r>
      <w:r w:rsidR="00EF4C58" w:rsidRPr="009025DF">
        <w:rPr>
          <w:rFonts w:ascii="Century Schoolbook" w:hAnsi="Century Schoolbook"/>
          <w:lang w:val="en-GB"/>
        </w:rPr>
        <w:t xml:space="preserve">Despite this evolution, data </w:t>
      </w:r>
      <w:r w:rsidR="003A09BF">
        <w:rPr>
          <w:rFonts w:ascii="Century Schoolbook" w:hAnsi="Century Schoolbook"/>
          <w:lang w:val="en-GB"/>
        </w:rPr>
        <w:t xml:space="preserve">show that </w:t>
      </w:r>
      <w:r w:rsidR="00EF4C58" w:rsidRPr="009025DF">
        <w:rPr>
          <w:rFonts w:ascii="Century Schoolbook" w:hAnsi="Century Schoolbook"/>
          <w:lang w:val="en-GB"/>
        </w:rPr>
        <w:t xml:space="preserve">Italians </w:t>
      </w:r>
      <w:r w:rsidR="003A09BF">
        <w:rPr>
          <w:rFonts w:ascii="Century Schoolbook" w:hAnsi="Century Schoolbook"/>
          <w:lang w:val="en-GB"/>
        </w:rPr>
        <w:t xml:space="preserve">remain tolerant </w:t>
      </w:r>
      <w:r w:rsidR="00EF4C58" w:rsidRPr="009025DF">
        <w:rPr>
          <w:rFonts w:ascii="Century Schoolbook" w:hAnsi="Century Schoolbook"/>
          <w:lang w:val="en-GB"/>
        </w:rPr>
        <w:t>towards cultural diversity: the number of respondents who support of equality o</w:t>
      </w:r>
      <w:r w:rsidR="009E4E9F">
        <w:rPr>
          <w:rFonts w:ascii="Century Schoolbook" w:hAnsi="Century Schoolbook"/>
          <w:lang w:val="en-GB"/>
        </w:rPr>
        <w:t xml:space="preserve">f </w:t>
      </w:r>
      <w:r w:rsidR="00EF4C58" w:rsidRPr="009025DF">
        <w:rPr>
          <w:rFonts w:ascii="Century Schoolbook" w:hAnsi="Century Schoolbook"/>
          <w:lang w:val="en-GB"/>
        </w:rPr>
        <w:t xml:space="preserve">rights and opportunities of people from different cultures, who belief that diversity is a source of prosperity and who do not think that </w:t>
      </w:r>
      <w:r w:rsidR="009E4E9F">
        <w:rPr>
          <w:rFonts w:ascii="Century Schoolbook" w:hAnsi="Century Schoolbook"/>
          <w:lang w:val="en-GB"/>
        </w:rPr>
        <w:t xml:space="preserve">diversity </w:t>
      </w:r>
      <w:r w:rsidR="00EF4C58" w:rsidRPr="009025DF">
        <w:rPr>
          <w:rFonts w:ascii="Century Schoolbook" w:hAnsi="Century Schoolbook"/>
          <w:lang w:val="en-GB"/>
        </w:rPr>
        <w:t>is a threat to societal stability are in line with the European average</w:t>
      </w:r>
      <w:r>
        <w:rPr>
          <w:rFonts w:ascii="Century Schoolbook" w:hAnsi="Century Schoolbook"/>
          <w:lang w:val="en-GB"/>
        </w:rPr>
        <w:t>; m</w:t>
      </w:r>
      <w:r w:rsidR="00EF4C58" w:rsidRPr="009025DF">
        <w:rPr>
          <w:rFonts w:ascii="Century Schoolbook" w:hAnsi="Century Schoolbook"/>
          <w:lang w:val="en-GB"/>
        </w:rPr>
        <w:t xml:space="preserve">oreover, Italians showed a level of support in </w:t>
      </w:r>
      <w:r w:rsidR="00EF4C58" w:rsidRPr="009025DF">
        <w:rPr>
          <w:rFonts w:ascii="Century Schoolbook" w:hAnsi="Century Schoolbook"/>
          <w:lang w:val="en-GB"/>
        </w:rPr>
        <w:lastRenderedPageBreak/>
        <w:t>collaborative actions to counteract radicalization above the European average, especially in the case of education and youth programs and youth participation in public life</w:t>
      </w:r>
      <w:r w:rsidR="003F2A3E">
        <w:rPr>
          <w:rFonts w:ascii="Century Schoolbook" w:hAnsi="Century Schoolbook"/>
          <w:lang w:val="en-GB"/>
        </w:rPr>
        <w:t xml:space="preserve"> (id., 103-105)</w:t>
      </w:r>
      <w:r w:rsidR="00EF4C58" w:rsidRPr="009025DF">
        <w:rPr>
          <w:rFonts w:ascii="Century Schoolbook" w:hAnsi="Century Schoolbook"/>
          <w:lang w:val="en-GB"/>
        </w:rPr>
        <w:t>.</w:t>
      </w:r>
    </w:p>
    <w:p w14:paraId="6741562A" w14:textId="2FF2D569" w:rsidR="009025DF" w:rsidRDefault="009025DF" w:rsidP="00EF4C58">
      <w:pPr>
        <w:spacing w:line="360" w:lineRule="auto"/>
        <w:jc w:val="both"/>
        <w:rPr>
          <w:rFonts w:ascii="Century Schoolbook" w:hAnsi="Century Schoolbook"/>
          <w:lang w:val="en-GB"/>
        </w:rPr>
      </w:pPr>
      <w:r>
        <w:rPr>
          <w:rFonts w:ascii="Century Schoolbook" w:hAnsi="Century Schoolbook"/>
          <w:lang w:val="en-GB"/>
        </w:rPr>
        <w:t xml:space="preserve">Concluding, the analysis conducted by the Anna Lindh Foundation and presented </w:t>
      </w:r>
      <w:r w:rsidR="00EE3DFD">
        <w:rPr>
          <w:rFonts w:ascii="Century Schoolbook" w:hAnsi="Century Schoolbook"/>
          <w:lang w:val="en-GB"/>
        </w:rPr>
        <w:t>here</w:t>
      </w:r>
      <w:r w:rsidR="003A09BF">
        <w:rPr>
          <w:rFonts w:ascii="Century Schoolbook" w:hAnsi="Century Schoolbook"/>
          <w:lang w:val="en-GB"/>
        </w:rPr>
        <w:t xml:space="preserve"> gives space for </w:t>
      </w:r>
      <w:r w:rsidR="00EE3DFD">
        <w:rPr>
          <w:rFonts w:ascii="Century Schoolbook" w:hAnsi="Century Schoolbook"/>
          <w:lang w:val="en-GB"/>
        </w:rPr>
        <w:t>optimis</w:t>
      </w:r>
      <w:r w:rsidR="009E4E9F">
        <w:rPr>
          <w:rFonts w:ascii="Century Schoolbook" w:hAnsi="Century Schoolbook"/>
          <w:lang w:val="en-GB"/>
        </w:rPr>
        <w:t>m</w:t>
      </w:r>
      <w:r w:rsidR="003A09BF">
        <w:rPr>
          <w:rFonts w:ascii="Century Schoolbook" w:hAnsi="Century Schoolbook"/>
          <w:lang w:val="en-GB"/>
        </w:rPr>
        <w:t xml:space="preserve">: it seems that </w:t>
      </w:r>
      <w:r w:rsidR="00EE3DFD">
        <w:rPr>
          <w:rFonts w:ascii="Century Schoolbook" w:hAnsi="Century Schoolbook"/>
          <w:lang w:val="en-GB"/>
        </w:rPr>
        <w:t>along</w:t>
      </w:r>
      <w:r w:rsidR="009E4E9F">
        <w:rPr>
          <w:rFonts w:ascii="Century Schoolbook" w:hAnsi="Century Schoolbook"/>
          <w:lang w:val="en-GB"/>
        </w:rPr>
        <w:t xml:space="preserve"> the shores of</w:t>
      </w:r>
      <w:r w:rsidR="00EE3DFD">
        <w:rPr>
          <w:rFonts w:ascii="Century Schoolbook" w:hAnsi="Century Schoolbook"/>
          <w:lang w:val="en-GB"/>
        </w:rPr>
        <w:t xml:space="preserve"> </w:t>
      </w:r>
      <w:r w:rsidR="003A09BF">
        <w:rPr>
          <w:rFonts w:ascii="Century Schoolbook" w:hAnsi="Century Schoolbook"/>
          <w:lang w:val="en-GB"/>
        </w:rPr>
        <w:t xml:space="preserve">the Mediterranean tolerance </w:t>
      </w:r>
      <w:r w:rsidR="00EE3DFD">
        <w:rPr>
          <w:rFonts w:ascii="Century Schoolbook" w:hAnsi="Century Schoolbook"/>
          <w:lang w:val="en-GB"/>
        </w:rPr>
        <w:t xml:space="preserve">is present </w:t>
      </w:r>
      <w:r w:rsidR="003A09BF">
        <w:rPr>
          <w:rFonts w:ascii="Century Schoolbook" w:hAnsi="Century Schoolbook"/>
          <w:lang w:val="en-GB"/>
        </w:rPr>
        <w:t xml:space="preserve">and that people find initiatives involving youth and education </w:t>
      </w:r>
      <w:r w:rsidR="009E4E9F">
        <w:rPr>
          <w:rFonts w:ascii="Century Schoolbook" w:hAnsi="Century Schoolbook"/>
          <w:lang w:val="en-GB"/>
        </w:rPr>
        <w:t xml:space="preserve">very </w:t>
      </w:r>
      <w:r w:rsidR="003A09BF">
        <w:rPr>
          <w:rFonts w:ascii="Century Schoolbook" w:hAnsi="Century Schoolbook"/>
          <w:lang w:val="en-GB"/>
        </w:rPr>
        <w:t xml:space="preserve">efficacious </w:t>
      </w:r>
      <w:r w:rsidR="00EE3DFD">
        <w:rPr>
          <w:rFonts w:ascii="Century Schoolbook" w:hAnsi="Century Schoolbook"/>
          <w:lang w:val="en-GB"/>
        </w:rPr>
        <w:t>to</w:t>
      </w:r>
      <w:r w:rsidR="003A09BF">
        <w:rPr>
          <w:rFonts w:ascii="Century Schoolbook" w:hAnsi="Century Schoolbook"/>
          <w:lang w:val="en-GB"/>
        </w:rPr>
        <w:t xml:space="preserve"> fac</w:t>
      </w:r>
      <w:r w:rsidR="00EE3DFD">
        <w:rPr>
          <w:rFonts w:ascii="Century Schoolbook" w:hAnsi="Century Schoolbook"/>
          <w:lang w:val="en-GB"/>
        </w:rPr>
        <w:t>e</w:t>
      </w:r>
      <w:r w:rsidR="003A09BF">
        <w:rPr>
          <w:rFonts w:ascii="Century Schoolbook" w:hAnsi="Century Schoolbook"/>
          <w:lang w:val="en-GB"/>
        </w:rPr>
        <w:t xml:space="preserve"> the challenges of multicultural societies. The hope is that future generation</w:t>
      </w:r>
      <w:r w:rsidR="00EE3DFD">
        <w:rPr>
          <w:rFonts w:ascii="Century Schoolbook" w:hAnsi="Century Schoolbook"/>
          <w:lang w:val="en-GB"/>
        </w:rPr>
        <w:t xml:space="preserve">s will be able to experience positive intercultural relations. However, it would be interesting to see more recent data (the one presented here date back to 2016) </w:t>
      </w:r>
      <w:r w:rsidR="009E4E9F">
        <w:rPr>
          <w:rFonts w:ascii="Century Schoolbook" w:hAnsi="Century Schoolbook"/>
          <w:lang w:val="en-GB"/>
        </w:rPr>
        <w:t>in order to analyse if new events – such as the rise of populism in Europe, the evolution of the tensions in the Middle East or the most recent outbreak of COVID-19 global pandemic – have impacted how people in Europe and SEM countries perceive each other and their intercultural relations</w:t>
      </w:r>
      <w:r w:rsidR="00EE3DFD">
        <w:rPr>
          <w:rFonts w:ascii="Century Schoolbook" w:hAnsi="Century Schoolbook"/>
          <w:lang w:val="en-GB"/>
        </w:rPr>
        <w:t xml:space="preserve">. </w:t>
      </w:r>
    </w:p>
    <w:p w14:paraId="11F1DD83" w14:textId="06CB9F31" w:rsidR="009E4E9F" w:rsidRDefault="009E4E9F">
      <w:pPr>
        <w:rPr>
          <w:rFonts w:ascii="Century Schoolbook" w:hAnsi="Century Schoolbook"/>
          <w:lang w:val="en-GB"/>
        </w:rPr>
      </w:pPr>
      <w:r>
        <w:rPr>
          <w:rFonts w:ascii="Century Schoolbook" w:hAnsi="Century Schoolbook"/>
          <w:lang w:val="en-GB"/>
        </w:rPr>
        <w:br w:type="page"/>
      </w:r>
    </w:p>
    <w:p w14:paraId="27E5BC9B" w14:textId="208B0774" w:rsidR="000966F6" w:rsidRDefault="000966F6" w:rsidP="00EF4C58">
      <w:pPr>
        <w:spacing w:line="360" w:lineRule="auto"/>
        <w:jc w:val="both"/>
        <w:rPr>
          <w:rFonts w:ascii="Century Schoolbook" w:hAnsi="Century Schoolbook"/>
          <w:b/>
          <w:bCs/>
          <w:lang w:val="en-GB"/>
        </w:rPr>
      </w:pPr>
      <w:r>
        <w:rPr>
          <w:rFonts w:ascii="Century Schoolbook" w:hAnsi="Century Schoolbook"/>
          <w:b/>
          <w:bCs/>
          <w:lang w:val="en-GB"/>
        </w:rPr>
        <w:lastRenderedPageBreak/>
        <w:t>RESOURCES</w:t>
      </w:r>
    </w:p>
    <w:p w14:paraId="795C7C8E" w14:textId="77777777" w:rsidR="00713E24" w:rsidRPr="000966F6" w:rsidRDefault="00713E24" w:rsidP="00713E24">
      <w:pPr>
        <w:spacing w:line="360" w:lineRule="auto"/>
        <w:ind w:left="720" w:hanging="720"/>
        <w:jc w:val="both"/>
        <w:rPr>
          <w:rFonts w:ascii="Century Schoolbook" w:hAnsi="Century Schoolbook"/>
          <w:lang w:val="en-GB"/>
        </w:rPr>
      </w:pPr>
      <w:r>
        <w:rPr>
          <w:rFonts w:ascii="Century Schoolbook" w:hAnsi="Century Schoolbook"/>
          <w:lang w:val="en-GB"/>
        </w:rPr>
        <w:t>Al</w:t>
      </w:r>
      <w:r w:rsidRPr="00713E24">
        <w:rPr>
          <w:rFonts w:ascii="Century Schoolbook" w:hAnsi="Century Schoolbook"/>
          <w:lang w:val="en-GB"/>
        </w:rPr>
        <w:t>Masri, N.; Tabba, M (2018)</w:t>
      </w:r>
      <w:r>
        <w:rPr>
          <w:rFonts w:ascii="Century Schoolbook" w:hAnsi="Century Schoolbook"/>
          <w:lang w:val="en-GB"/>
        </w:rPr>
        <w:t xml:space="preserve"> “</w:t>
      </w:r>
      <w:r w:rsidRPr="00713E24">
        <w:rPr>
          <w:rFonts w:ascii="Century Schoolbook" w:hAnsi="Century Schoolbook"/>
          <w:lang w:val="en-GB"/>
        </w:rPr>
        <w:t>Maintaining social cohesion in a growing and diverse population in Jordan</w:t>
      </w:r>
      <w:r>
        <w:rPr>
          <w:rFonts w:ascii="Century Schoolbook" w:hAnsi="Century Schoolbook"/>
          <w:lang w:val="en-GB"/>
        </w:rPr>
        <w:t xml:space="preserve">” in </w:t>
      </w:r>
      <w:r w:rsidRPr="000966F6">
        <w:rPr>
          <w:rFonts w:ascii="Century Schoolbook" w:hAnsi="Century Schoolbook"/>
          <w:i/>
          <w:iCs/>
          <w:lang w:val="en-GB"/>
        </w:rPr>
        <w:t>The Anna Lindh Report 2018</w:t>
      </w:r>
      <w:r>
        <w:rPr>
          <w:rFonts w:ascii="Century Schoolbook" w:hAnsi="Century Schoolbook"/>
          <w:i/>
          <w:iCs/>
          <w:lang w:val="en-GB"/>
        </w:rPr>
        <w:t>:</w:t>
      </w:r>
      <w:r w:rsidRPr="000966F6">
        <w:rPr>
          <w:rFonts w:ascii="Century Schoolbook" w:hAnsi="Century Schoolbook"/>
          <w:i/>
          <w:iCs/>
          <w:lang w:val="en-GB"/>
        </w:rPr>
        <w:t xml:space="preserve"> Intercultural Trends and Social Change in the Euro-Mediterranean region</w:t>
      </w:r>
      <w:r>
        <w:rPr>
          <w:rFonts w:ascii="Century Schoolbook" w:hAnsi="Century Schoolbook"/>
          <w:lang w:val="en-GB"/>
        </w:rPr>
        <w:t>, p. 106-109.</w:t>
      </w:r>
    </w:p>
    <w:p w14:paraId="6C234F37" w14:textId="77777777" w:rsidR="00713E24" w:rsidRDefault="00713E24" w:rsidP="00713E24">
      <w:pPr>
        <w:spacing w:line="360" w:lineRule="auto"/>
        <w:ind w:left="720" w:hanging="720"/>
        <w:jc w:val="both"/>
        <w:rPr>
          <w:rFonts w:ascii="Century Schoolbook" w:hAnsi="Century Schoolbook"/>
          <w:i/>
          <w:iCs/>
          <w:lang w:val="en-GB"/>
        </w:rPr>
      </w:pPr>
      <w:r w:rsidRPr="00713E24">
        <w:rPr>
          <w:rFonts w:ascii="Century Schoolbook" w:hAnsi="Century Schoolbook"/>
          <w:lang w:val="en-GB"/>
        </w:rPr>
        <w:t xml:space="preserve">Boufrikha, A.; Jerbi, M. (2014) </w:t>
      </w:r>
      <w:r>
        <w:rPr>
          <w:rFonts w:ascii="Century Schoolbook" w:hAnsi="Century Schoolbook"/>
          <w:lang w:val="en-GB"/>
        </w:rPr>
        <w:t>“</w:t>
      </w:r>
      <w:r w:rsidRPr="00713E24">
        <w:rPr>
          <w:rFonts w:ascii="Century Schoolbook" w:hAnsi="Century Schoolbook"/>
          <w:lang w:val="en-GB"/>
        </w:rPr>
        <w:t>Tunisia Laying the Basis for a Sustainable Civic Engagement</w:t>
      </w:r>
      <w:r>
        <w:rPr>
          <w:rFonts w:ascii="Century Schoolbook" w:hAnsi="Century Schoolbook"/>
          <w:lang w:val="en-GB"/>
        </w:rPr>
        <w:t xml:space="preserve">” in </w:t>
      </w:r>
      <w:r w:rsidRPr="000966F6">
        <w:rPr>
          <w:rFonts w:ascii="Century Schoolbook" w:hAnsi="Century Schoolbook"/>
          <w:i/>
          <w:iCs/>
          <w:lang w:val="en-GB"/>
        </w:rPr>
        <w:t>The Anna Lindh Report 201</w:t>
      </w:r>
      <w:r>
        <w:rPr>
          <w:rFonts w:ascii="Century Schoolbook" w:hAnsi="Century Schoolbook"/>
          <w:i/>
          <w:iCs/>
          <w:lang w:val="en-GB"/>
        </w:rPr>
        <w:t>4:</w:t>
      </w:r>
      <w:r w:rsidRPr="000966F6">
        <w:rPr>
          <w:rFonts w:ascii="Century Schoolbook" w:hAnsi="Century Schoolbook"/>
          <w:i/>
          <w:iCs/>
          <w:lang w:val="en-GB"/>
        </w:rPr>
        <w:t xml:space="preserve"> Intercultural Trends and Social Change in the Euro-Mediterranean region</w:t>
      </w:r>
      <w:r>
        <w:rPr>
          <w:rFonts w:ascii="Century Schoolbook" w:hAnsi="Century Schoolbook"/>
          <w:lang w:val="en-GB"/>
        </w:rPr>
        <w:t>, p. 113-114.</w:t>
      </w:r>
    </w:p>
    <w:p w14:paraId="21A2E618" w14:textId="77777777" w:rsidR="00713E24" w:rsidRDefault="00713E24" w:rsidP="00713E24">
      <w:pPr>
        <w:spacing w:line="360" w:lineRule="auto"/>
        <w:ind w:left="720" w:hanging="720"/>
        <w:jc w:val="both"/>
        <w:rPr>
          <w:rFonts w:ascii="Century Schoolbook" w:hAnsi="Century Schoolbook"/>
          <w:lang w:val="en-GB"/>
        </w:rPr>
      </w:pPr>
      <w:r w:rsidRPr="000966F6">
        <w:rPr>
          <w:rFonts w:ascii="Century Schoolbook" w:hAnsi="Century Schoolbook"/>
          <w:lang w:val="en-GB"/>
        </w:rPr>
        <w:t xml:space="preserve">Chaouki, K. (2018) </w:t>
      </w:r>
      <w:r>
        <w:rPr>
          <w:rFonts w:ascii="Century Schoolbook" w:hAnsi="Century Schoolbook"/>
          <w:lang w:val="en-GB"/>
        </w:rPr>
        <w:t>“</w:t>
      </w:r>
      <w:r w:rsidRPr="000966F6">
        <w:rPr>
          <w:rFonts w:ascii="Century Schoolbook" w:hAnsi="Century Schoolbook"/>
          <w:lang w:val="en-GB"/>
        </w:rPr>
        <w:t>Italian hospitality in the face of rising migratory flows</w:t>
      </w:r>
      <w:r>
        <w:rPr>
          <w:rFonts w:ascii="Century Schoolbook" w:hAnsi="Century Schoolbook"/>
          <w:lang w:val="en-GB"/>
        </w:rPr>
        <w:t xml:space="preserve">” in </w:t>
      </w:r>
      <w:r w:rsidRPr="000966F6">
        <w:rPr>
          <w:rFonts w:ascii="Century Schoolbook" w:hAnsi="Century Schoolbook"/>
          <w:i/>
          <w:iCs/>
          <w:lang w:val="en-GB"/>
        </w:rPr>
        <w:t>The Anna Lindh Report 2018</w:t>
      </w:r>
      <w:r>
        <w:rPr>
          <w:rFonts w:ascii="Century Schoolbook" w:hAnsi="Century Schoolbook"/>
          <w:i/>
          <w:iCs/>
          <w:lang w:val="en-GB"/>
        </w:rPr>
        <w:t>:</w:t>
      </w:r>
      <w:r w:rsidRPr="000966F6">
        <w:rPr>
          <w:rFonts w:ascii="Century Schoolbook" w:hAnsi="Century Schoolbook"/>
          <w:i/>
          <w:iCs/>
          <w:lang w:val="en-GB"/>
        </w:rPr>
        <w:t xml:space="preserve"> Intercultural Trends and Social Change in the Euro-Mediterranean region</w:t>
      </w:r>
      <w:r>
        <w:rPr>
          <w:rFonts w:ascii="Century Schoolbook" w:hAnsi="Century Schoolbook"/>
          <w:lang w:val="en-GB"/>
        </w:rPr>
        <w:t>, p. 102-105.</w:t>
      </w:r>
    </w:p>
    <w:p w14:paraId="0161FCF7" w14:textId="77777777" w:rsidR="00713E24" w:rsidRDefault="00713E24" w:rsidP="00713E24">
      <w:pPr>
        <w:spacing w:line="360" w:lineRule="auto"/>
        <w:ind w:left="720" w:hanging="720"/>
        <w:jc w:val="both"/>
        <w:rPr>
          <w:rFonts w:ascii="Century Schoolbook" w:hAnsi="Century Schoolbook"/>
          <w:lang w:val="en-GB"/>
        </w:rPr>
      </w:pPr>
      <w:r w:rsidRPr="000966F6">
        <w:rPr>
          <w:rFonts w:ascii="Century Schoolbook" w:hAnsi="Century Schoolbook"/>
          <w:lang w:val="en-GB"/>
        </w:rPr>
        <w:t>Cohen, S. (2018)</w:t>
      </w:r>
      <w:r>
        <w:rPr>
          <w:rFonts w:ascii="Century Schoolbook" w:hAnsi="Century Schoolbook"/>
          <w:lang w:val="en-GB"/>
        </w:rPr>
        <w:t xml:space="preserve"> “</w:t>
      </w:r>
      <w:r w:rsidRPr="000966F6">
        <w:rPr>
          <w:rFonts w:ascii="Century Schoolbook" w:hAnsi="Century Schoolbook"/>
          <w:lang w:val="en-GB"/>
        </w:rPr>
        <w:t>Convergences independently from religiosity level</w:t>
      </w:r>
      <w:r>
        <w:rPr>
          <w:rFonts w:ascii="Century Schoolbook" w:hAnsi="Century Schoolbook"/>
          <w:lang w:val="en-GB"/>
        </w:rPr>
        <w:t xml:space="preserve">” in </w:t>
      </w:r>
      <w:r w:rsidRPr="000966F6">
        <w:rPr>
          <w:rFonts w:ascii="Century Schoolbook" w:hAnsi="Century Schoolbook"/>
          <w:i/>
          <w:iCs/>
          <w:lang w:val="en-GB"/>
        </w:rPr>
        <w:t>The Anna Lindh Report 2018</w:t>
      </w:r>
      <w:r>
        <w:rPr>
          <w:rFonts w:ascii="Century Schoolbook" w:hAnsi="Century Schoolbook"/>
          <w:i/>
          <w:iCs/>
          <w:lang w:val="en-GB"/>
        </w:rPr>
        <w:t>:</w:t>
      </w:r>
      <w:r w:rsidRPr="000966F6">
        <w:rPr>
          <w:rFonts w:ascii="Century Schoolbook" w:hAnsi="Century Schoolbook"/>
          <w:i/>
          <w:iCs/>
          <w:lang w:val="en-GB"/>
        </w:rPr>
        <w:t xml:space="preserve"> Intercultural Trends and Social Change in the Euro-Mediterranean region</w:t>
      </w:r>
      <w:r>
        <w:rPr>
          <w:rFonts w:ascii="Century Schoolbook" w:hAnsi="Century Schoolbook"/>
          <w:lang w:val="en-GB"/>
        </w:rPr>
        <w:t>, p. 60-63.</w:t>
      </w:r>
    </w:p>
    <w:p w14:paraId="273245D5" w14:textId="77777777" w:rsidR="00713E24" w:rsidRDefault="00713E24" w:rsidP="00713E24">
      <w:pPr>
        <w:spacing w:line="360" w:lineRule="auto"/>
        <w:ind w:left="720" w:hanging="720"/>
        <w:jc w:val="both"/>
        <w:rPr>
          <w:rFonts w:ascii="Century Schoolbook" w:hAnsi="Century Schoolbook"/>
          <w:lang w:val="en-GB"/>
        </w:rPr>
      </w:pPr>
      <w:r w:rsidRPr="00713E24">
        <w:rPr>
          <w:rFonts w:ascii="Century Schoolbook" w:hAnsi="Century Schoolbook"/>
          <w:lang w:val="en-GB"/>
        </w:rPr>
        <w:t>Fahmy, N.; Valsta, E. (2018)</w:t>
      </w:r>
      <w:r>
        <w:rPr>
          <w:rFonts w:ascii="Century Schoolbook" w:hAnsi="Century Schoolbook"/>
          <w:lang w:val="en-GB"/>
        </w:rPr>
        <w:t xml:space="preserve"> “</w:t>
      </w:r>
      <w:r w:rsidRPr="00713E24">
        <w:rPr>
          <w:rFonts w:ascii="Century Schoolbook" w:hAnsi="Century Schoolbook"/>
          <w:lang w:val="en-GB"/>
        </w:rPr>
        <w:t>Understanding and engagement to overcome polarisation</w:t>
      </w:r>
      <w:r>
        <w:rPr>
          <w:rFonts w:ascii="Century Schoolbook" w:hAnsi="Century Schoolbook"/>
          <w:lang w:val="en-GB"/>
        </w:rPr>
        <w:t xml:space="preserve">” in </w:t>
      </w:r>
      <w:r w:rsidRPr="000966F6">
        <w:rPr>
          <w:rFonts w:ascii="Century Schoolbook" w:hAnsi="Century Schoolbook"/>
          <w:i/>
          <w:iCs/>
          <w:lang w:val="en-GB"/>
        </w:rPr>
        <w:t>The Anna Lindh Report 2018</w:t>
      </w:r>
      <w:r>
        <w:rPr>
          <w:rFonts w:ascii="Century Schoolbook" w:hAnsi="Century Schoolbook"/>
          <w:i/>
          <w:iCs/>
          <w:lang w:val="en-GB"/>
        </w:rPr>
        <w:t>:</w:t>
      </w:r>
      <w:r w:rsidRPr="000966F6">
        <w:rPr>
          <w:rFonts w:ascii="Century Schoolbook" w:hAnsi="Century Schoolbook"/>
          <w:i/>
          <w:iCs/>
          <w:lang w:val="en-GB"/>
        </w:rPr>
        <w:t xml:space="preserve"> Intercultural Trends and Social Change in the Euro-Mediterranean region</w:t>
      </w:r>
      <w:r>
        <w:rPr>
          <w:rFonts w:ascii="Century Schoolbook" w:hAnsi="Century Schoolbook"/>
          <w:lang w:val="en-GB"/>
        </w:rPr>
        <w:t>, p. 40-43.</w:t>
      </w:r>
    </w:p>
    <w:p w14:paraId="4EADB566" w14:textId="77777777" w:rsidR="00713E24" w:rsidRPr="000966F6" w:rsidRDefault="00713E24" w:rsidP="00713E24">
      <w:pPr>
        <w:spacing w:line="360" w:lineRule="auto"/>
        <w:ind w:left="720" w:hanging="720"/>
        <w:jc w:val="both"/>
        <w:rPr>
          <w:rFonts w:ascii="Century Schoolbook" w:hAnsi="Century Schoolbook"/>
          <w:lang w:val="en-GB"/>
        </w:rPr>
      </w:pPr>
      <w:r w:rsidRPr="000966F6">
        <w:rPr>
          <w:rFonts w:ascii="Century Schoolbook" w:hAnsi="Century Schoolbook"/>
          <w:lang w:val="en-GB"/>
        </w:rPr>
        <w:t xml:space="preserve">Fataliyeva, S. (2016) </w:t>
      </w:r>
      <w:r w:rsidRPr="00713E24">
        <w:rPr>
          <w:rFonts w:ascii="Century Schoolbook" w:hAnsi="Century Schoolbook"/>
          <w:i/>
          <w:iCs/>
          <w:lang w:val="en-GB"/>
        </w:rPr>
        <w:t>Preventing the radicalisation of children and young people by fighting the root causes</w:t>
      </w:r>
      <w:r w:rsidRPr="000966F6">
        <w:rPr>
          <w:rFonts w:ascii="Century Schoolbook" w:hAnsi="Century Schoolbook"/>
          <w:lang w:val="en-GB"/>
        </w:rPr>
        <w:t xml:space="preserve">. Strasbourg: Council of Europe, Parliamentary Assembly. </w:t>
      </w:r>
    </w:p>
    <w:p w14:paraId="7914F829" w14:textId="77777777" w:rsidR="00713E24" w:rsidRDefault="00713E24" w:rsidP="00713E24">
      <w:pPr>
        <w:spacing w:line="360" w:lineRule="auto"/>
        <w:ind w:left="720" w:hanging="720"/>
        <w:jc w:val="both"/>
        <w:rPr>
          <w:rFonts w:ascii="Century Schoolbook" w:hAnsi="Century Schoolbook"/>
          <w:lang w:val="en-GB"/>
        </w:rPr>
      </w:pPr>
      <w:r w:rsidRPr="00713E24">
        <w:rPr>
          <w:rFonts w:ascii="Century Schoolbook" w:hAnsi="Century Schoolbook"/>
          <w:lang w:val="en-GB"/>
        </w:rPr>
        <w:t>Moschis-Gauguet, A. (2018)</w:t>
      </w:r>
      <w:r>
        <w:rPr>
          <w:rFonts w:ascii="Century Schoolbook" w:hAnsi="Century Schoolbook"/>
          <w:lang w:val="en-GB"/>
        </w:rPr>
        <w:t xml:space="preserve"> “</w:t>
      </w:r>
      <w:r w:rsidRPr="00713E24">
        <w:rPr>
          <w:rFonts w:ascii="Century Schoolbook" w:hAnsi="Century Schoolbook"/>
          <w:lang w:val="en-GB"/>
        </w:rPr>
        <w:t>The city of the 21st century will be intercultural or it will not be</w:t>
      </w:r>
      <w:r>
        <w:rPr>
          <w:rFonts w:ascii="Century Schoolbook" w:hAnsi="Century Schoolbook"/>
          <w:lang w:val="en-GB"/>
        </w:rPr>
        <w:t xml:space="preserve">” in </w:t>
      </w:r>
      <w:r w:rsidRPr="000966F6">
        <w:rPr>
          <w:rFonts w:ascii="Century Schoolbook" w:hAnsi="Century Schoolbook"/>
          <w:i/>
          <w:iCs/>
          <w:lang w:val="en-GB"/>
        </w:rPr>
        <w:t>The Anna Lindh Report 2018</w:t>
      </w:r>
      <w:r>
        <w:rPr>
          <w:rFonts w:ascii="Century Schoolbook" w:hAnsi="Century Schoolbook"/>
          <w:i/>
          <w:iCs/>
          <w:lang w:val="en-GB"/>
        </w:rPr>
        <w:t>:</w:t>
      </w:r>
      <w:r w:rsidRPr="000966F6">
        <w:rPr>
          <w:rFonts w:ascii="Century Schoolbook" w:hAnsi="Century Schoolbook"/>
          <w:i/>
          <w:iCs/>
          <w:lang w:val="en-GB"/>
        </w:rPr>
        <w:t xml:space="preserve"> Intercultural Trends and Social Change in the Euro-Mediterranean region</w:t>
      </w:r>
      <w:r>
        <w:rPr>
          <w:rFonts w:ascii="Century Schoolbook" w:hAnsi="Century Schoolbook"/>
          <w:lang w:val="en-GB"/>
        </w:rPr>
        <w:t>, p. 48-51.</w:t>
      </w:r>
    </w:p>
    <w:p w14:paraId="348126D8" w14:textId="77777777" w:rsidR="00713E24" w:rsidRPr="000966F6" w:rsidRDefault="00713E24" w:rsidP="00713E24">
      <w:pPr>
        <w:spacing w:line="360" w:lineRule="auto"/>
        <w:ind w:left="720" w:hanging="720"/>
        <w:jc w:val="both"/>
        <w:rPr>
          <w:rFonts w:ascii="Century Schoolbook" w:hAnsi="Century Schoolbook"/>
          <w:lang w:val="en-GB"/>
        </w:rPr>
      </w:pPr>
      <w:r w:rsidRPr="00713E24">
        <w:rPr>
          <w:rFonts w:ascii="Century Schoolbook" w:hAnsi="Century Schoolbook"/>
          <w:lang w:val="en-GB"/>
        </w:rPr>
        <w:t>Ozerdem, A. (2018)</w:t>
      </w:r>
      <w:r>
        <w:rPr>
          <w:rFonts w:ascii="Century Schoolbook" w:hAnsi="Century Schoolbook"/>
          <w:lang w:val="en-GB"/>
        </w:rPr>
        <w:t xml:space="preserve"> “</w:t>
      </w:r>
      <w:r w:rsidRPr="00713E24">
        <w:rPr>
          <w:rFonts w:ascii="Century Schoolbook" w:hAnsi="Century Schoolbook"/>
          <w:lang w:val="en-GB"/>
        </w:rPr>
        <w:t>Tackling radicalisation through dialogue</w:t>
      </w:r>
      <w:r>
        <w:rPr>
          <w:rFonts w:ascii="Century Schoolbook" w:hAnsi="Century Schoolbook"/>
          <w:lang w:val="en-GB"/>
        </w:rPr>
        <w:t xml:space="preserve">” in </w:t>
      </w:r>
      <w:r w:rsidRPr="000966F6">
        <w:rPr>
          <w:rFonts w:ascii="Century Schoolbook" w:hAnsi="Century Schoolbook"/>
          <w:i/>
          <w:iCs/>
          <w:lang w:val="en-GB"/>
        </w:rPr>
        <w:t>The Anna Lindh Report 2018</w:t>
      </w:r>
      <w:r>
        <w:rPr>
          <w:rFonts w:ascii="Century Schoolbook" w:hAnsi="Century Schoolbook"/>
          <w:i/>
          <w:iCs/>
          <w:lang w:val="en-GB"/>
        </w:rPr>
        <w:t>:</w:t>
      </w:r>
      <w:r w:rsidRPr="000966F6">
        <w:rPr>
          <w:rFonts w:ascii="Century Schoolbook" w:hAnsi="Century Schoolbook"/>
          <w:i/>
          <w:iCs/>
          <w:lang w:val="en-GB"/>
        </w:rPr>
        <w:t xml:space="preserve"> Intercultural Trends and Social Change in the Euro-Mediterranean region</w:t>
      </w:r>
      <w:r>
        <w:rPr>
          <w:rFonts w:ascii="Century Schoolbook" w:hAnsi="Century Schoolbook"/>
          <w:lang w:val="en-GB"/>
        </w:rPr>
        <w:t>.</w:t>
      </w:r>
    </w:p>
    <w:p w14:paraId="59BC0050" w14:textId="77777777" w:rsidR="00713E24" w:rsidRDefault="00713E24" w:rsidP="00713E24">
      <w:pPr>
        <w:spacing w:line="360" w:lineRule="auto"/>
        <w:ind w:left="720" w:hanging="720"/>
        <w:jc w:val="both"/>
        <w:rPr>
          <w:rFonts w:ascii="Century Schoolbook" w:hAnsi="Century Schoolbook"/>
          <w:i/>
          <w:iCs/>
          <w:lang w:val="en-GB"/>
        </w:rPr>
      </w:pPr>
      <w:r w:rsidRPr="00713E24">
        <w:rPr>
          <w:rFonts w:ascii="Century Schoolbook" w:hAnsi="Century Schoolbook"/>
          <w:lang w:val="en-GB"/>
        </w:rPr>
        <w:t>Robertson-von Trotha, C. (2014)</w:t>
      </w:r>
      <w:r>
        <w:rPr>
          <w:rFonts w:ascii="Century Schoolbook" w:hAnsi="Century Schoolbook"/>
          <w:lang w:val="en-GB"/>
        </w:rPr>
        <w:t xml:space="preserve"> “</w:t>
      </w:r>
      <w:r w:rsidRPr="00713E24">
        <w:rPr>
          <w:rFonts w:ascii="Century Schoolbook" w:hAnsi="Century Schoolbook"/>
          <w:lang w:val="en-GB"/>
        </w:rPr>
        <w:t>Inside the German Experience of Cultural Pluralism</w:t>
      </w:r>
      <w:r>
        <w:rPr>
          <w:rFonts w:ascii="Century Schoolbook" w:hAnsi="Century Schoolbook"/>
          <w:lang w:val="en-GB"/>
        </w:rPr>
        <w:t xml:space="preserve">” in </w:t>
      </w:r>
      <w:r w:rsidRPr="000966F6">
        <w:rPr>
          <w:rFonts w:ascii="Century Schoolbook" w:hAnsi="Century Schoolbook"/>
          <w:i/>
          <w:iCs/>
          <w:lang w:val="en-GB"/>
        </w:rPr>
        <w:t>The Anna Lindh Report 201</w:t>
      </w:r>
      <w:r>
        <w:rPr>
          <w:rFonts w:ascii="Century Schoolbook" w:hAnsi="Century Schoolbook"/>
          <w:i/>
          <w:iCs/>
          <w:lang w:val="en-GB"/>
        </w:rPr>
        <w:t>4:</w:t>
      </w:r>
      <w:r w:rsidRPr="000966F6">
        <w:rPr>
          <w:rFonts w:ascii="Century Schoolbook" w:hAnsi="Century Schoolbook"/>
          <w:i/>
          <w:iCs/>
          <w:lang w:val="en-GB"/>
        </w:rPr>
        <w:t xml:space="preserve"> Intercultural Trends and Social Change in the Euro-Mediterranean region</w:t>
      </w:r>
      <w:r>
        <w:rPr>
          <w:rFonts w:ascii="Century Schoolbook" w:hAnsi="Century Schoolbook"/>
          <w:lang w:val="en-GB"/>
        </w:rPr>
        <w:t>, p. 73-76.</w:t>
      </w:r>
    </w:p>
    <w:p w14:paraId="1C64E0B8" w14:textId="77777777" w:rsidR="00713E24" w:rsidRPr="000966F6" w:rsidRDefault="00713E24" w:rsidP="00713E24">
      <w:pPr>
        <w:spacing w:line="360" w:lineRule="auto"/>
        <w:ind w:left="720" w:hanging="720"/>
        <w:jc w:val="both"/>
        <w:rPr>
          <w:rFonts w:ascii="Century Schoolbook" w:hAnsi="Century Schoolbook"/>
          <w:lang w:val="en-GB"/>
        </w:rPr>
      </w:pPr>
      <w:r w:rsidRPr="000966F6">
        <w:rPr>
          <w:rFonts w:ascii="Century Schoolbook" w:hAnsi="Century Schoolbook"/>
          <w:lang w:val="en-GB"/>
        </w:rPr>
        <w:t xml:space="preserve">UN General Assembly (2015) </w:t>
      </w:r>
      <w:r w:rsidRPr="00713E24">
        <w:rPr>
          <w:rFonts w:ascii="Century Schoolbook" w:hAnsi="Century Schoolbook"/>
          <w:i/>
          <w:iCs/>
          <w:lang w:val="en-GB"/>
        </w:rPr>
        <w:t>Plan of Action to Prevent Violent Extremism</w:t>
      </w:r>
      <w:r w:rsidRPr="000966F6">
        <w:rPr>
          <w:rFonts w:ascii="Century Schoolbook" w:hAnsi="Century Schoolbook"/>
          <w:lang w:val="en-GB"/>
        </w:rPr>
        <w:t xml:space="preserve">, 24 December 2015. New York: UN General Assembly.  </w:t>
      </w:r>
    </w:p>
    <w:sectPr w:rsidR="00713E24" w:rsidRPr="000966F6" w:rsidSect="00954C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D0CA1" w14:textId="77777777" w:rsidR="00B907E8" w:rsidRDefault="00B907E8" w:rsidP="00EE3DFD">
      <w:pPr>
        <w:spacing w:after="0" w:line="240" w:lineRule="auto"/>
      </w:pPr>
      <w:r>
        <w:separator/>
      </w:r>
    </w:p>
  </w:endnote>
  <w:endnote w:type="continuationSeparator" w:id="0">
    <w:p w14:paraId="40F480E3" w14:textId="77777777" w:rsidR="00B907E8" w:rsidRDefault="00B907E8" w:rsidP="00EE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D3D86" w14:textId="77777777" w:rsidR="00B907E8" w:rsidRDefault="00B907E8" w:rsidP="00EE3DFD">
      <w:pPr>
        <w:spacing w:after="0" w:line="240" w:lineRule="auto"/>
      </w:pPr>
      <w:r>
        <w:separator/>
      </w:r>
    </w:p>
  </w:footnote>
  <w:footnote w:type="continuationSeparator" w:id="0">
    <w:p w14:paraId="570C9CBF" w14:textId="77777777" w:rsidR="00B907E8" w:rsidRDefault="00B907E8" w:rsidP="00EE3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E0370"/>
    <w:multiLevelType w:val="hybridMultilevel"/>
    <w:tmpl w:val="07AE0640"/>
    <w:lvl w:ilvl="0" w:tplc="1B9A3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79E6E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CE124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79403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036ED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52E6D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58985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F62A5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2EF0F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06"/>
    <w:rsid w:val="000067BE"/>
    <w:rsid w:val="000966F6"/>
    <w:rsid w:val="001D687F"/>
    <w:rsid w:val="00223017"/>
    <w:rsid w:val="00244586"/>
    <w:rsid w:val="00244EC6"/>
    <w:rsid w:val="002B69AF"/>
    <w:rsid w:val="002F65D5"/>
    <w:rsid w:val="00333CAF"/>
    <w:rsid w:val="00337BF0"/>
    <w:rsid w:val="0036021E"/>
    <w:rsid w:val="003A09BF"/>
    <w:rsid w:val="003E3D2A"/>
    <w:rsid w:val="003F2A3E"/>
    <w:rsid w:val="00551918"/>
    <w:rsid w:val="00585661"/>
    <w:rsid w:val="005D6B06"/>
    <w:rsid w:val="006426FA"/>
    <w:rsid w:val="0065184F"/>
    <w:rsid w:val="00661E29"/>
    <w:rsid w:val="0068426B"/>
    <w:rsid w:val="007123CE"/>
    <w:rsid w:val="00713E24"/>
    <w:rsid w:val="007D19E6"/>
    <w:rsid w:val="008348BC"/>
    <w:rsid w:val="008922DB"/>
    <w:rsid w:val="009025DF"/>
    <w:rsid w:val="00954C6E"/>
    <w:rsid w:val="009846F3"/>
    <w:rsid w:val="009A036B"/>
    <w:rsid w:val="009D2B27"/>
    <w:rsid w:val="009E4E9F"/>
    <w:rsid w:val="00A8178B"/>
    <w:rsid w:val="00AE636A"/>
    <w:rsid w:val="00B907E8"/>
    <w:rsid w:val="00BE1D0F"/>
    <w:rsid w:val="00BF7043"/>
    <w:rsid w:val="00C56910"/>
    <w:rsid w:val="00CD0EA5"/>
    <w:rsid w:val="00D42FE6"/>
    <w:rsid w:val="00D7237E"/>
    <w:rsid w:val="00EA6717"/>
    <w:rsid w:val="00EE3DFD"/>
    <w:rsid w:val="00E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ADEC"/>
  <w15:chartTrackingRefBased/>
  <w15:docId w15:val="{168B621C-27DF-433E-B61B-105AC182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2B27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E3DF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E3DFD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E3D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6267B53-0918-4F4C-BA95-667824DE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Chiusi</dc:creator>
  <cp:keywords/>
  <dc:description/>
  <cp:lastModifiedBy>Carola Chiusi</cp:lastModifiedBy>
  <cp:revision>13</cp:revision>
  <dcterms:created xsi:type="dcterms:W3CDTF">2020-05-24T09:28:00Z</dcterms:created>
  <dcterms:modified xsi:type="dcterms:W3CDTF">2020-07-26T12:40:00Z</dcterms:modified>
</cp:coreProperties>
</file>