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E530F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466090</wp:posOffset>
            </wp:positionH>
            <wp:positionV relativeFrom="margin">
              <wp:posOffset>227965</wp:posOffset>
            </wp:positionV>
            <wp:extent cx="4423410" cy="3388995"/>
            <wp:effectExtent l="19050" t="0" r="0" b="0"/>
            <wp:wrapSquare wrapText="bothSides"/>
            <wp:docPr id="2" name="Picture 1" descr="C:\Documents and Settings\Administrator\Desktop\2016\logo-color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6\logo-color-Englis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9C41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1A62B1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1A62B1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1A62B1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1A62B1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A62B1" w:rsidRDefault="001A62B1" w:rsidP="001A62B1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DE2DC4" w:rsidRDefault="00DE2DC4" w:rsidP="001A62B1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DE2DC4" w:rsidRDefault="00DE2DC4" w:rsidP="001A62B1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A62B1" w:rsidRPr="000721BC" w:rsidRDefault="001A62B1" w:rsidP="00692DA1">
      <w:pPr>
        <w:pStyle w:val="NoSpacing"/>
        <w:jc w:val="center"/>
        <w:rPr>
          <w:rFonts w:ascii="Modern No. 20" w:hAnsi="Modern No. 20" w:cs="Rod Transparent"/>
          <w:b/>
          <w:bCs/>
          <w:sz w:val="56"/>
          <w:szCs w:val="56"/>
        </w:rPr>
      </w:pPr>
      <w:r w:rsidRPr="000721BC">
        <w:rPr>
          <w:rFonts w:ascii="Modern No. 20" w:hAnsi="Modern No. 20" w:cs="Rod Transparent"/>
          <w:b/>
          <w:bCs/>
          <w:sz w:val="56"/>
          <w:szCs w:val="56"/>
        </w:rPr>
        <w:t>With your cooperation and support we will achieve our goals</w:t>
      </w:r>
    </w:p>
    <w:p w:rsidR="00692DA1" w:rsidRDefault="00692DA1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692DA1" w:rsidRDefault="00692DA1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692DA1" w:rsidRDefault="00692DA1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692DA1" w:rsidRDefault="00F14737" w:rsidP="00692DA1">
      <w:pPr>
        <w:pStyle w:val="NoSpacing"/>
        <w:jc w:val="center"/>
        <w:rPr>
          <w:rFonts w:cs="Rod Transparent"/>
          <w:sz w:val="36"/>
          <w:szCs w:val="36"/>
        </w:rPr>
      </w:pPr>
      <w:r>
        <w:rPr>
          <w:rFonts w:cs="Rod Transparent"/>
          <w:noProof/>
          <w:sz w:val="36"/>
          <w:szCs w:val="36"/>
        </w:rPr>
        <w:pict>
          <v:rect id="_x0000_s1032" style="position:absolute;left:0;text-align:left;margin-left:-4.35pt;margin-top:10.6pt;width:427.75pt;height:101.55pt;z-index:251662336" fillcolor="white [3201]" strokecolor="black [3200]" strokeweight="5pt">
            <v:stroke linestyle="thickThin"/>
            <v:shadow color="#868686"/>
            <v:textbox>
              <w:txbxContent>
                <w:p w:rsidR="008103FE" w:rsidRPr="008103FE" w:rsidRDefault="008103FE" w:rsidP="000B4C3F">
                  <w:pPr>
                    <w:pStyle w:val="NoSpacing"/>
                    <w:jc w:val="center"/>
                    <w:rPr>
                      <w:rFonts w:ascii="Tw Cen MT Condensed" w:hAnsi="Tw Cen MT Condensed" w:cs="Rod Transparent"/>
                      <w:b/>
                      <w:bCs/>
                      <w:sz w:val="72"/>
                      <w:szCs w:val="72"/>
                    </w:rPr>
                  </w:pPr>
                  <w:r w:rsidRPr="008103FE">
                    <w:rPr>
                      <w:rFonts w:ascii="Tw Cen MT Condensed" w:hAnsi="Tw Cen MT Condensed" w:cs="Rod Transparent"/>
                      <w:b/>
                      <w:bCs/>
                      <w:sz w:val="72"/>
                      <w:szCs w:val="72"/>
                    </w:rPr>
                    <w:t xml:space="preserve">“When </w:t>
                  </w:r>
                  <w:r w:rsidR="00685D94">
                    <w:rPr>
                      <w:rFonts w:ascii="Tw Cen MT Condensed" w:hAnsi="Tw Cen MT Condensed" w:cs="Rod Transparent"/>
                      <w:b/>
                      <w:bCs/>
                      <w:sz w:val="72"/>
                      <w:szCs w:val="72"/>
                    </w:rPr>
                    <w:t xml:space="preserve">Our </w:t>
                  </w:r>
                  <w:r w:rsidRPr="008103FE">
                    <w:rPr>
                      <w:rFonts w:ascii="Tw Cen MT Condensed" w:hAnsi="Tw Cen MT Condensed" w:cs="Rod Transparent"/>
                      <w:b/>
                      <w:bCs/>
                      <w:sz w:val="72"/>
                      <w:szCs w:val="72"/>
                    </w:rPr>
                    <w:t xml:space="preserve">Children and Mothers  Rise, </w:t>
                  </w:r>
                  <w:r w:rsidR="00685D94">
                    <w:rPr>
                      <w:rFonts w:ascii="Tw Cen MT Condensed" w:hAnsi="Tw Cen MT Condensed" w:cs="Rod Transparent"/>
                      <w:b/>
                      <w:bCs/>
                      <w:sz w:val="72"/>
                      <w:szCs w:val="72"/>
                    </w:rPr>
                    <w:t>W</w:t>
                  </w:r>
                  <w:r w:rsidRPr="008103FE">
                    <w:rPr>
                      <w:rFonts w:ascii="Tw Cen MT Condensed" w:hAnsi="Tw Cen MT Condensed" w:cs="Rod Transparent"/>
                      <w:b/>
                      <w:bCs/>
                      <w:sz w:val="72"/>
                      <w:szCs w:val="72"/>
                    </w:rPr>
                    <w:t xml:space="preserve">e all </w:t>
                  </w:r>
                  <w:r w:rsidR="00685D94">
                    <w:rPr>
                      <w:rFonts w:ascii="Tw Cen MT Condensed" w:hAnsi="Tw Cen MT Condensed" w:cs="Rod Transparent"/>
                      <w:b/>
                      <w:bCs/>
                      <w:sz w:val="72"/>
                      <w:szCs w:val="72"/>
                    </w:rPr>
                    <w:t>R</w:t>
                  </w:r>
                  <w:r w:rsidRPr="008103FE">
                    <w:rPr>
                      <w:rFonts w:ascii="Tw Cen MT Condensed" w:hAnsi="Tw Cen MT Condensed" w:cs="Rod Transparent"/>
                      <w:b/>
                      <w:bCs/>
                      <w:sz w:val="72"/>
                      <w:szCs w:val="72"/>
                    </w:rPr>
                    <w:t>ise”</w:t>
                  </w:r>
                </w:p>
                <w:p w:rsidR="008103FE" w:rsidRDefault="008103FE"/>
              </w:txbxContent>
            </v:textbox>
          </v:rect>
        </w:pict>
      </w:r>
    </w:p>
    <w:p w:rsidR="00692DA1" w:rsidRDefault="00692DA1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692DA1" w:rsidRDefault="00692DA1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692DA1" w:rsidRDefault="00692DA1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692DA1" w:rsidRDefault="00692DA1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AE136E" w:rsidRDefault="00AE136E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8103FE" w:rsidRDefault="008103FE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8103FE" w:rsidRDefault="008103FE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AE136E" w:rsidRDefault="00AE136E" w:rsidP="00692DA1">
      <w:pPr>
        <w:pStyle w:val="NoSpacing"/>
        <w:jc w:val="center"/>
        <w:rPr>
          <w:rFonts w:cs="Rod Transparent"/>
          <w:sz w:val="36"/>
          <w:szCs w:val="36"/>
        </w:rPr>
      </w:pPr>
    </w:p>
    <w:p w:rsidR="00692DA1" w:rsidRPr="003F45C1" w:rsidRDefault="00692DA1" w:rsidP="00692DA1">
      <w:pPr>
        <w:pStyle w:val="NoSpacing"/>
        <w:jc w:val="center"/>
        <w:rPr>
          <w:rFonts w:cs="Rod Transparent"/>
          <w:sz w:val="12"/>
          <w:szCs w:val="12"/>
        </w:rPr>
      </w:pPr>
    </w:p>
    <w:p w:rsidR="009C4179" w:rsidRPr="001E530F" w:rsidRDefault="00722972" w:rsidP="009C417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E530F">
        <w:rPr>
          <w:rFonts w:asciiTheme="majorBidi" w:hAnsiTheme="majorBidi" w:cstheme="majorBidi"/>
          <w:b/>
          <w:bCs/>
          <w:sz w:val="28"/>
          <w:szCs w:val="28"/>
          <w:u w:val="single"/>
        </w:rPr>
        <w:t>About the center</w:t>
      </w:r>
      <w:r w:rsidR="00692DA1" w:rsidRPr="001E53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92DA1" w:rsidRPr="00F8581C" w:rsidRDefault="00692DA1" w:rsidP="009C417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AE136E" w:rsidRPr="003F45C1" w:rsidRDefault="00AE136E" w:rsidP="00722972">
      <w:pPr>
        <w:pStyle w:val="NoSpacing"/>
        <w:rPr>
          <w:sz w:val="14"/>
          <w:szCs w:val="14"/>
        </w:rPr>
      </w:pPr>
    </w:p>
    <w:p w:rsidR="00AE136E" w:rsidRPr="003F45C1" w:rsidRDefault="00AE136E" w:rsidP="00722972">
      <w:pPr>
        <w:pStyle w:val="NoSpacing"/>
        <w:rPr>
          <w:sz w:val="4"/>
          <w:szCs w:val="4"/>
        </w:rPr>
      </w:pPr>
    </w:p>
    <w:p w:rsidR="00722972" w:rsidRDefault="00EB5CDC" w:rsidP="00685D94">
      <w:pPr>
        <w:pStyle w:val="NoSpacing"/>
        <w:jc w:val="both"/>
      </w:pPr>
      <w:r>
        <w:t>The Women’s Center</w:t>
      </w:r>
      <w:r w:rsidR="00722972" w:rsidRPr="00766278">
        <w:t xml:space="preserve"> (WCSHC) is an independent Palestinian NGO </w:t>
      </w:r>
      <w:r w:rsidR="00061CDC">
        <w:t>that was established in 1997</w:t>
      </w:r>
      <w:r w:rsidR="00722972" w:rsidRPr="00766278">
        <w:t>, whose mandate is to serve and address the social, economic, cultural</w:t>
      </w:r>
      <w:r w:rsidR="00987ABA">
        <w:t>,</w:t>
      </w:r>
      <w:r w:rsidR="00722972" w:rsidRPr="00766278">
        <w:t xml:space="preserve"> and educational nee</w:t>
      </w:r>
      <w:r w:rsidR="00987ABA">
        <w:t>ds of the camp’s population of women and children</w:t>
      </w:r>
      <w:r w:rsidR="00722972" w:rsidRPr="00766278">
        <w:t>.</w:t>
      </w:r>
    </w:p>
    <w:p w:rsidR="00722972" w:rsidRDefault="00722972" w:rsidP="00685D94">
      <w:pPr>
        <w:pStyle w:val="NoSpacing"/>
        <w:jc w:val="both"/>
      </w:pPr>
    </w:p>
    <w:p w:rsidR="00BD4D62" w:rsidRDefault="00BD4D62" w:rsidP="00685D94">
      <w:pPr>
        <w:pStyle w:val="NoSpacing"/>
        <w:jc w:val="both"/>
      </w:pPr>
      <w:r w:rsidRPr="007A3D09">
        <w:t>WCSHC's mission is to empower Jerusalemite refugee and non-refugee women and children living in Shu’fat camp</w:t>
      </w:r>
      <w:r w:rsidR="00EB5CDC">
        <w:t xml:space="preserve"> and the surrounding</w:t>
      </w:r>
      <w:r w:rsidR="00427B2A">
        <w:t xml:space="preserve"> communities of Hizma</w:t>
      </w:r>
      <w:r w:rsidR="00EB5CDC">
        <w:t xml:space="preserve"> and Anata. </w:t>
      </w:r>
    </w:p>
    <w:p w:rsidR="00BD4D62" w:rsidRDefault="00BD4D62" w:rsidP="00685D94">
      <w:pPr>
        <w:pStyle w:val="NoSpacing"/>
        <w:jc w:val="both"/>
      </w:pPr>
    </w:p>
    <w:p w:rsidR="00722972" w:rsidRDefault="00427B2A" w:rsidP="00685D94">
      <w:pPr>
        <w:pStyle w:val="NoSpacing"/>
        <w:jc w:val="both"/>
      </w:pPr>
      <w:r>
        <w:t xml:space="preserve">While WCSHC is located in Shu’fat camp it is open to and employs women from Hizma and Anata. </w:t>
      </w:r>
      <w:r w:rsidR="00722972" w:rsidRPr="009961AF">
        <w:t>The Center is managed by an administrative committee</w:t>
      </w:r>
      <w:r w:rsidR="00EB5CDC">
        <w:t>,</w:t>
      </w:r>
      <w:r w:rsidR="00722972" w:rsidRPr="009961AF">
        <w:t xml:space="preserve"> which elects nine members every </w:t>
      </w:r>
      <w:r w:rsidR="0019345F">
        <w:t>three</w:t>
      </w:r>
      <w:r w:rsidR="00722972" w:rsidRPr="009961AF">
        <w:t xml:space="preserve"> years. The committee supervises the planning and funding of programs and projects. A group of female personnel, appointed by the committee, supervise and implement the daily programs, projects and activities. </w:t>
      </w:r>
    </w:p>
    <w:p w:rsidR="00427B2A" w:rsidRDefault="00427B2A" w:rsidP="00685D94">
      <w:pPr>
        <w:pStyle w:val="NoSpacing"/>
        <w:jc w:val="both"/>
      </w:pPr>
    </w:p>
    <w:p w:rsidR="00427B2A" w:rsidRPr="00685D94" w:rsidRDefault="00427B2A" w:rsidP="00685D94">
      <w:pPr>
        <w:pStyle w:val="NoSpacing"/>
        <w:rPr>
          <w:b/>
          <w:bCs/>
        </w:rPr>
      </w:pPr>
      <w:r w:rsidRPr="00685D94">
        <w:rPr>
          <w:b/>
          <w:bCs/>
        </w:rPr>
        <w:t xml:space="preserve">We believe that when </w:t>
      </w:r>
      <w:r w:rsidR="00685D94" w:rsidRPr="00685D94">
        <w:rPr>
          <w:b/>
          <w:bCs/>
        </w:rPr>
        <w:t>Our Children and Mothers</w:t>
      </w:r>
      <w:r w:rsidRPr="00685D94">
        <w:rPr>
          <w:b/>
          <w:bCs/>
        </w:rPr>
        <w:t xml:space="preserve"> rise, we all rise. </w:t>
      </w:r>
    </w:p>
    <w:p w:rsidR="00722972" w:rsidRDefault="00722972" w:rsidP="00722972">
      <w:pPr>
        <w:pStyle w:val="NoSpacing"/>
      </w:pPr>
    </w:p>
    <w:p w:rsidR="0076198F" w:rsidRDefault="0076198F" w:rsidP="00722972">
      <w:pPr>
        <w:pStyle w:val="NoSpacing"/>
      </w:pPr>
    </w:p>
    <w:p w:rsidR="00722972" w:rsidRPr="008D1DC2" w:rsidRDefault="00BD4D62" w:rsidP="0072297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1D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Our </w:t>
      </w:r>
      <w:r w:rsidR="00722972" w:rsidRPr="008D1DC2">
        <w:rPr>
          <w:rFonts w:asciiTheme="majorBidi" w:hAnsiTheme="majorBidi" w:cstheme="majorBidi"/>
          <w:b/>
          <w:bCs/>
          <w:sz w:val="28"/>
          <w:szCs w:val="28"/>
          <w:u w:val="single"/>
        </w:rPr>
        <w:t>Vision:</w:t>
      </w:r>
    </w:p>
    <w:p w:rsidR="00722972" w:rsidRPr="00692DA1" w:rsidRDefault="00722972" w:rsidP="0072297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22972" w:rsidRPr="007A3D09" w:rsidRDefault="00427B2A" w:rsidP="008D1DC2">
      <w:pPr>
        <w:jc w:val="both"/>
      </w:pPr>
      <w:r w:rsidRPr="00427B2A">
        <w:t>Our vision is to create a w</w:t>
      </w:r>
      <w:r w:rsidR="00722972" w:rsidRPr="00427B2A">
        <w:t>omen’s forum</w:t>
      </w:r>
      <w:r w:rsidR="00EB5CDC" w:rsidRPr="00427B2A">
        <w:t>,</w:t>
      </w:r>
      <w:r w:rsidR="00722972" w:rsidRPr="00427B2A">
        <w:t xml:space="preserve"> which provides a venue for women to assert and develop themselves, and to activate her role socially, economically and politically.</w:t>
      </w:r>
    </w:p>
    <w:p w:rsidR="00722972" w:rsidRPr="00692DA1" w:rsidRDefault="00722972" w:rsidP="00722972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722972" w:rsidRPr="008D1DC2" w:rsidRDefault="00BD4D62" w:rsidP="001E530F">
      <w:pPr>
        <w:jc w:val="both"/>
        <w:outlineLvl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8D1DC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Our</w:t>
      </w:r>
      <w:r w:rsidR="00722972" w:rsidRPr="008D1DC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M</w:t>
      </w:r>
      <w:r w:rsidR="001E530F" w:rsidRPr="008D1DC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ission</w:t>
      </w:r>
      <w:r w:rsidR="00722972" w:rsidRPr="008D1DC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:</w:t>
      </w:r>
    </w:p>
    <w:p w:rsidR="00722972" w:rsidRPr="00692DA1" w:rsidRDefault="00722972" w:rsidP="00722972">
      <w:pPr>
        <w:jc w:val="both"/>
        <w:outlineLvl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22972" w:rsidRPr="007A3D09" w:rsidRDefault="00722972" w:rsidP="00722972">
      <w:pPr>
        <w:jc w:val="both"/>
        <w:outlineLvl w:val="0"/>
      </w:pPr>
      <w:r w:rsidRPr="00427B2A">
        <w:t xml:space="preserve">WCSHC's mission is to </w:t>
      </w:r>
      <w:r w:rsidR="00427B2A">
        <w:t xml:space="preserve">create a safe place for women to promote social justice and change </w:t>
      </w:r>
      <w:r w:rsidR="005378ED">
        <w:t>by creating</w:t>
      </w:r>
      <w:r w:rsidR="00427B2A">
        <w:t xml:space="preserve"> societal </w:t>
      </w:r>
      <w:r w:rsidRPr="007A3D09">
        <w:t>awareness that promotes equal opportunities and reinforces the development role for Palestinian women in all areas: economic, social and</w:t>
      </w:r>
      <w:r w:rsidR="00427B2A">
        <w:t xml:space="preserve"> political. We aim to create female leaders who will drive the social change needed to combat gender inequality. </w:t>
      </w:r>
    </w:p>
    <w:p w:rsidR="00722972" w:rsidRDefault="00722972" w:rsidP="00722972">
      <w:pPr>
        <w:pStyle w:val="NoSpacing"/>
      </w:pPr>
    </w:p>
    <w:p w:rsidR="00722972" w:rsidRPr="008D1DC2" w:rsidRDefault="00021103" w:rsidP="001E530F">
      <w:pPr>
        <w:pStyle w:val="NoSpacing"/>
        <w:rPr>
          <w:b/>
          <w:bCs/>
          <w:sz w:val="28"/>
          <w:szCs w:val="28"/>
          <w:u w:val="single"/>
        </w:rPr>
      </w:pPr>
      <w:r w:rsidRPr="008D1DC2">
        <w:rPr>
          <w:b/>
          <w:bCs/>
          <w:sz w:val="28"/>
          <w:szCs w:val="28"/>
          <w:u w:val="single"/>
        </w:rPr>
        <w:t>Our Principle</w:t>
      </w:r>
      <w:r w:rsidR="00722972" w:rsidRPr="008D1DC2">
        <w:rPr>
          <w:b/>
          <w:bCs/>
          <w:sz w:val="28"/>
          <w:szCs w:val="28"/>
          <w:u w:val="single"/>
        </w:rPr>
        <w:t xml:space="preserve"> </w:t>
      </w:r>
      <w:r w:rsidR="001E530F" w:rsidRPr="008D1DC2">
        <w:rPr>
          <w:b/>
          <w:bCs/>
          <w:sz w:val="28"/>
          <w:szCs w:val="28"/>
          <w:u w:val="single"/>
        </w:rPr>
        <w:t>G</w:t>
      </w:r>
      <w:r w:rsidR="00722972" w:rsidRPr="008D1DC2">
        <w:rPr>
          <w:b/>
          <w:bCs/>
          <w:sz w:val="28"/>
          <w:szCs w:val="28"/>
          <w:u w:val="single"/>
        </w:rPr>
        <w:t>oals:</w:t>
      </w:r>
    </w:p>
    <w:p w:rsidR="00722972" w:rsidRDefault="00722972" w:rsidP="00722972">
      <w:pPr>
        <w:pStyle w:val="NoSpacing"/>
        <w:rPr>
          <w:rtl/>
        </w:rPr>
      </w:pPr>
    </w:p>
    <w:p w:rsidR="00722972" w:rsidRDefault="00A63D2E" w:rsidP="00BD4D62">
      <w:pPr>
        <w:pStyle w:val="NoSpacing"/>
      </w:pPr>
      <w:r>
        <w:t>•</w:t>
      </w:r>
      <w:r w:rsidR="00722972">
        <w:t xml:space="preserve">To use a rights based approach to enhance the culture of equality, and to embody the universal principles on the rights of </w:t>
      </w:r>
      <w:r w:rsidR="00BD4D62">
        <w:t xml:space="preserve">children and </w:t>
      </w:r>
      <w:r w:rsidR="00722972">
        <w:t>women.</w:t>
      </w:r>
    </w:p>
    <w:p w:rsidR="00722972" w:rsidRDefault="00A63D2E" w:rsidP="00722972">
      <w:pPr>
        <w:pStyle w:val="NoSpacing"/>
      </w:pPr>
      <w:r>
        <w:t>•</w:t>
      </w:r>
      <w:r w:rsidR="00722972">
        <w:t>To build a generation of young female social leaders who can advocate for the concerns of Jerusalem women.</w:t>
      </w:r>
    </w:p>
    <w:p w:rsidR="00722972" w:rsidRDefault="00A63D2E" w:rsidP="00722972">
      <w:pPr>
        <w:pStyle w:val="NoSpacing"/>
      </w:pPr>
      <w:r>
        <w:t>•</w:t>
      </w:r>
      <w:r w:rsidR="00722972">
        <w:t xml:space="preserve">To enhance the development and training of women and children in a variety of fields, including: academic, professional, and </w:t>
      </w:r>
      <w:r w:rsidR="00427B2A">
        <w:t>health</w:t>
      </w:r>
      <w:r w:rsidR="00722972">
        <w:t xml:space="preserve">. </w:t>
      </w:r>
    </w:p>
    <w:p w:rsidR="00722972" w:rsidRDefault="00A63D2E" w:rsidP="00722972">
      <w:pPr>
        <w:pStyle w:val="NoSpacing"/>
      </w:pPr>
      <w:r>
        <w:t>•</w:t>
      </w:r>
      <w:r w:rsidR="00722972">
        <w:t>To mobilize women to participate democratically in the decision-making process.</w:t>
      </w:r>
    </w:p>
    <w:p w:rsidR="00722972" w:rsidRDefault="00A63D2E" w:rsidP="00722972">
      <w:pPr>
        <w:pStyle w:val="NoSpacing"/>
      </w:pPr>
      <w:r>
        <w:t>•</w:t>
      </w:r>
      <w:r w:rsidR="00722972">
        <w:t xml:space="preserve">To contribute to </w:t>
      </w:r>
      <w:r w:rsidR="00427B2A">
        <w:t xml:space="preserve">the provision of social, health, and educational </w:t>
      </w:r>
      <w:r w:rsidR="00722972">
        <w:t xml:space="preserve">and psychological support services to </w:t>
      </w:r>
      <w:r w:rsidR="00427B2A">
        <w:t>women, children</w:t>
      </w:r>
      <w:r w:rsidR="00722972">
        <w:t xml:space="preserve"> and families.</w:t>
      </w:r>
    </w:p>
    <w:p w:rsidR="00722972" w:rsidRDefault="00A63D2E" w:rsidP="00722972">
      <w:pPr>
        <w:pStyle w:val="NoSpacing"/>
      </w:pPr>
      <w:r>
        <w:lastRenderedPageBreak/>
        <w:t>•</w:t>
      </w:r>
      <w:r w:rsidR="00D11DCF" w:rsidRPr="00427B2A">
        <w:t xml:space="preserve">To </w:t>
      </w:r>
      <w:r w:rsidR="00427B2A">
        <w:t xml:space="preserve">promote access to education through the creation of after school classes open to women and students as well as aiding in the creation of community schools. </w:t>
      </w:r>
    </w:p>
    <w:p w:rsidR="00D11DCF" w:rsidRDefault="00D11DCF" w:rsidP="00722972">
      <w:pPr>
        <w:pStyle w:val="NoSpacing"/>
      </w:pPr>
    </w:p>
    <w:p w:rsidR="00D11DCF" w:rsidRPr="0019345F" w:rsidRDefault="00D11DCF" w:rsidP="00722972">
      <w:pPr>
        <w:pStyle w:val="NoSpacing"/>
        <w:rPr>
          <w:sz w:val="12"/>
          <w:szCs w:val="12"/>
        </w:rPr>
      </w:pPr>
    </w:p>
    <w:p w:rsidR="00722972" w:rsidRPr="00531915" w:rsidRDefault="00722972" w:rsidP="00722972">
      <w:pPr>
        <w:pStyle w:val="NoSpacing"/>
        <w:rPr>
          <w:b/>
          <w:bCs/>
          <w:sz w:val="28"/>
          <w:szCs w:val="28"/>
        </w:rPr>
      </w:pPr>
      <w:r w:rsidRPr="00531915">
        <w:rPr>
          <w:b/>
          <w:bCs/>
          <w:sz w:val="28"/>
          <w:szCs w:val="28"/>
        </w:rPr>
        <w:t>Woman Center Units:</w:t>
      </w:r>
    </w:p>
    <w:p w:rsidR="00722972" w:rsidRPr="009961AF" w:rsidRDefault="00722972" w:rsidP="00722972">
      <w:pPr>
        <w:pStyle w:val="NoSpacing"/>
        <w:rPr>
          <w:b/>
          <w:bCs/>
        </w:rPr>
      </w:pPr>
    </w:p>
    <w:p w:rsidR="00EE3DFB" w:rsidRPr="00E41492" w:rsidRDefault="00722972" w:rsidP="00FD2B9E">
      <w:pPr>
        <w:pStyle w:val="NoSpacing"/>
        <w:numPr>
          <w:ilvl w:val="0"/>
          <w:numId w:val="6"/>
        </w:numPr>
        <w:rPr>
          <w:b/>
          <w:bCs/>
        </w:rPr>
      </w:pPr>
      <w:r w:rsidRPr="00EE3DFB">
        <w:rPr>
          <w:b/>
          <w:bCs/>
          <w:u w:val="single"/>
        </w:rPr>
        <w:t>Education Unit:</w:t>
      </w:r>
    </w:p>
    <w:p w:rsidR="00E41492" w:rsidRPr="00682339" w:rsidRDefault="00E41492" w:rsidP="00E41492">
      <w:pPr>
        <w:pStyle w:val="NoSpacing"/>
        <w:ind w:left="720"/>
        <w:rPr>
          <w:b/>
          <w:bCs/>
        </w:rPr>
      </w:pPr>
    </w:p>
    <w:p w:rsidR="00682339" w:rsidRPr="00682339" w:rsidRDefault="00682339" w:rsidP="00682339">
      <w:pPr>
        <w:pStyle w:val="NoSpacing"/>
        <w:ind w:left="720"/>
        <w:rPr>
          <w:b/>
          <w:bCs/>
          <w:sz w:val="10"/>
          <w:szCs w:val="10"/>
        </w:rPr>
      </w:pPr>
    </w:p>
    <w:p w:rsidR="00EE3DFB" w:rsidRPr="00EE3DFB" w:rsidRDefault="00EE3DFB" w:rsidP="00EE3DFB">
      <w:pPr>
        <w:pStyle w:val="NoSpacing"/>
        <w:numPr>
          <w:ilvl w:val="0"/>
          <w:numId w:val="7"/>
        </w:numPr>
        <w:rPr>
          <w:b/>
          <w:bCs/>
        </w:rPr>
      </w:pPr>
      <w:r>
        <w:t>Enhancing Academic education of individual student.</w:t>
      </w:r>
    </w:p>
    <w:p w:rsidR="00EE3DFB" w:rsidRPr="00EE3DFB" w:rsidRDefault="00EE3DFB" w:rsidP="00EE3DFB">
      <w:pPr>
        <w:pStyle w:val="NoSpacing"/>
        <w:numPr>
          <w:ilvl w:val="0"/>
          <w:numId w:val="7"/>
        </w:numPr>
      </w:pPr>
      <w:r w:rsidRPr="00EE3DFB">
        <w:t>Providing technical support for education team and capacity building.</w:t>
      </w:r>
    </w:p>
    <w:p w:rsidR="00EE3DFB" w:rsidRDefault="00EE3DFB" w:rsidP="00EE3DFB">
      <w:pPr>
        <w:pStyle w:val="NoSpacing"/>
        <w:numPr>
          <w:ilvl w:val="0"/>
          <w:numId w:val="7"/>
        </w:numPr>
      </w:pPr>
      <w:r w:rsidRPr="00EE3DFB">
        <w:t xml:space="preserve">Advocating children rights </w:t>
      </w:r>
      <w:r w:rsidR="00FB1969">
        <w:t>and child protection through schools and education.</w:t>
      </w:r>
    </w:p>
    <w:p w:rsidR="00FB1969" w:rsidRDefault="00FB1969" w:rsidP="00EE3DFB">
      <w:pPr>
        <w:pStyle w:val="NoSpacing"/>
        <w:numPr>
          <w:ilvl w:val="0"/>
          <w:numId w:val="7"/>
        </w:numPr>
      </w:pPr>
      <w:r>
        <w:t>Improving children learning</w:t>
      </w:r>
      <w:r w:rsidR="008420BC">
        <w:t xml:space="preserve"> and communication</w:t>
      </w:r>
      <w:r>
        <w:t xml:space="preserve"> skills, learning ability</w:t>
      </w:r>
      <w:r w:rsidR="00682339">
        <w:t xml:space="preserve"> and</w:t>
      </w:r>
      <w:r w:rsidR="008420BC">
        <w:t xml:space="preserve"> promoting creativity</w:t>
      </w:r>
      <w:r w:rsidR="00682339">
        <w:t>.</w:t>
      </w:r>
    </w:p>
    <w:p w:rsidR="00682339" w:rsidRDefault="00682339" w:rsidP="00EE3DFB">
      <w:pPr>
        <w:pStyle w:val="NoSpacing"/>
        <w:numPr>
          <w:ilvl w:val="0"/>
          <w:numId w:val="7"/>
        </w:numPr>
      </w:pPr>
      <w:r>
        <w:t>Planning and launching several education program</w:t>
      </w:r>
      <w:r w:rsidR="00A63D2E">
        <w:t>s</w:t>
      </w:r>
      <w:r>
        <w:t>.</w:t>
      </w:r>
    </w:p>
    <w:p w:rsidR="00682339" w:rsidRPr="00EE3DFB" w:rsidRDefault="00682339" w:rsidP="00682339">
      <w:pPr>
        <w:pStyle w:val="NoSpacing"/>
        <w:ind w:left="1080"/>
      </w:pPr>
    </w:p>
    <w:p w:rsidR="00722972" w:rsidRPr="00E41492" w:rsidRDefault="00722972" w:rsidP="00722972">
      <w:pPr>
        <w:pStyle w:val="NoSpacing"/>
        <w:numPr>
          <w:ilvl w:val="0"/>
          <w:numId w:val="6"/>
        </w:numPr>
      </w:pPr>
      <w:r w:rsidRPr="00682339">
        <w:rPr>
          <w:b/>
          <w:bCs/>
          <w:u w:val="single"/>
        </w:rPr>
        <w:t>Psychosocial support unit:</w:t>
      </w:r>
    </w:p>
    <w:p w:rsidR="00E41492" w:rsidRDefault="00E41492" w:rsidP="00E41492">
      <w:pPr>
        <w:pStyle w:val="NoSpacing"/>
        <w:ind w:left="720"/>
      </w:pPr>
    </w:p>
    <w:p w:rsidR="00682339" w:rsidRDefault="00682339" w:rsidP="00682339">
      <w:pPr>
        <w:pStyle w:val="NoSpacing"/>
        <w:numPr>
          <w:ilvl w:val="0"/>
          <w:numId w:val="7"/>
        </w:numPr>
      </w:pPr>
      <w:r>
        <w:t xml:space="preserve">Providing psychosocial support for </w:t>
      </w:r>
      <w:r w:rsidR="008420BC">
        <w:t>the community</w:t>
      </w:r>
      <w:r>
        <w:t>.</w:t>
      </w:r>
    </w:p>
    <w:p w:rsidR="00682339" w:rsidRDefault="00682339" w:rsidP="00682339">
      <w:pPr>
        <w:pStyle w:val="NoSpacing"/>
        <w:numPr>
          <w:ilvl w:val="0"/>
          <w:numId w:val="7"/>
        </w:numPr>
      </w:pPr>
      <w:r>
        <w:t>Raising awareness about mental health issue</w:t>
      </w:r>
      <w:r w:rsidR="008420BC">
        <w:t>s</w:t>
      </w:r>
      <w:r>
        <w:t>.</w:t>
      </w:r>
    </w:p>
    <w:p w:rsidR="00682339" w:rsidRDefault="00682339" w:rsidP="00682339">
      <w:pPr>
        <w:pStyle w:val="NoSpacing"/>
        <w:numPr>
          <w:ilvl w:val="0"/>
          <w:numId w:val="7"/>
        </w:numPr>
      </w:pPr>
      <w:r w:rsidRPr="008420BC">
        <w:t>Providing indi</w:t>
      </w:r>
      <w:r w:rsidR="008420BC">
        <w:t>vidual service</w:t>
      </w:r>
      <w:r w:rsidRPr="008420BC">
        <w:t>s</w:t>
      </w:r>
      <w:r w:rsidR="008420BC">
        <w:t xml:space="preserve"> for abuse</w:t>
      </w:r>
      <w:r>
        <w:t>.</w:t>
      </w:r>
    </w:p>
    <w:p w:rsidR="009675E1" w:rsidRDefault="00A63D2E" w:rsidP="009675E1">
      <w:pPr>
        <w:pStyle w:val="NoSpacing"/>
        <w:numPr>
          <w:ilvl w:val="0"/>
          <w:numId w:val="7"/>
        </w:numPr>
      </w:pPr>
      <w:r>
        <w:t>Managing several support groups</w:t>
      </w:r>
      <w:r w:rsidR="008737D2">
        <w:t>.</w:t>
      </w:r>
    </w:p>
    <w:p w:rsidR="009675E1" w:rsidRDefault="009675E1" w:rsidP="009675E1">
      <w:pPr>
        <w:pStyle w:val="NoSpacing"/>
        <w:numPr>
          <w:ilvl w:val="0"/>
          <w:numId w:val="7"/>
        </w:numPr>
      </w:pPr>
      <w:r w:rsidRPr="009675E1">
        <w:t>Empowering marginalized and vulnerable child and woman</w:t>
      </w:r>
    </w:p>
    <w:p w:rsidR="009675E1" w:rsidRDefault="009675E1" w:rsidP="009675E1">
      <w:pPr>
        <w:pStyle w:val="NoSpacing"/>
        <w:ind w:left="720"/>
      </w:pPr>
    </w:p>
    <w:p w:rsidR="00722972" w:rsidRPr="008420BC" w:rsidRDefault="00722972" w:rsidP="00FD2B9E">
      <w:pPr>
        <w:pStyle w:val="NoSpacing"/>
        <w:numPr>
          <w:ilvl w:val="0"/>
          <w:numId w:val="6"/>
        </w:numPr>
      </w:pPr>
      <w:r w:rsidRPr="008420BC">
        <w:rPr>
          <w:b/>
          <w:bCs/>
          <w:u w:val="single"/>
        </w:rPr>
        <w:t>Health</w:t>
      </w:r>
      <w:r w:rsidR="00E41492" w:rsidRPr="008420BC">
        <w:rPr>
          <w:b/>
          <w:bCs/>
          <w:u w:val="single"/>
        </w:rPr>
        <w:t xml:space="preserve"> and </w:t>
      </w:r>
      <w:r w:rsidR="00FD2B9E" w:rsidRPr="008420BC">
        <w:rPr>
          <w:b/>
          <w:bCs/>
          <w:u w:val="single"/>
        </w:rPr>
        <w:t>S</w:t>
      </w:r>
      <w:r w:rsidR="00E41492" w:rsidRPr="008420BC">
        <w:rPr>
          <w:b/>
          <w:bCs/>
          <w:u w:val="single"/>
        </w:rPr>
        <w:t>port</w:t>
      </w:r>
      <w:r w:rsidRPr="008420BC">
        <w:rPr>
          <w:b/>
          <w:bCs/>
          <w:u w:val="single"/>
        </w:rPr>
        <w:t xml:space="preserve"> Unit:</w:t>
      </w:r>
    </w:p>
    <w:p w:rsidR="00E41492" w:rsidRPr="008420BC" w:rsidRDefault="00E41492" w:rsidP="00E41492">
      <w:pPr>
        <w:pStyle w:val="NoSpacing"/>
        <w:ind w:left="720"/>
      </w:pPr>
    </w:p>
    <w:p w:rsidR="00E41492" w:rsidRPr="008420BC" w:rsidRDefault="00E41492" w:rsidP="00E41492">
      <w:pPr>
        <w:pStyle w:val="NoSpacing"/>
        <w:numPr>
          <w:ilvl w:val="0"/>
          <w:numId w:val="7"/>
        </w:numPr>
      </w:pPr>
      <w:r w:rsidRPr="008420BC">
        <w:t>Managing several sport p</w:t>
      </w:r>
      <w:r w:rsidR="008420BC" w:rsidRPr="008420BC">
        <w:t>rograms targeting child and wome</w:t>
      </w:r>
      <w:r w:rsidRPr="008420BC">
        <w:t>n.</w:t>
      </w:r>
    </w:p>
    <w:p w:rsidR="00E41492" w:rsidRPr="008420BC" w:rsidRDefault="008420BC" w:rsidP="00E41492">
      <w:pPr>
        <w:pStyle w:val="NoSpacing"/>
        <w:numPr>
          <w:ilvl w:val="0"/>
          <w:numId w:val="7"/>
        </w:numPr>
      </w:pPr>
      <w:r>
        <w:t>Raising awareness of healthy living</w:t>
      </w:r>
      <w:r w:rsidR="00E41492" w:rsidRPr="008420BC">
        <w:t>.</w:t>
      </w:r>
    </w:p>
    <w:p w:rsidR="00E41492" w:rsidRDefault="00E41492" w:rsidP="00E41492">
      <w:pPr>
        <w:pStyle w:val="NoSpacing"/>
        <w:numPr>
          <w:ilvl w:val="0"/>
          <w:numId w:val="7"/>
        </w:numPr>
      </w:pPr>
      <w:r>
        <w:t>Managing healthy food unit targeting local schools.</w:t>
      </w:r>
    </w:p>
    <w:p w:rsidR="00E41492" w:rsidRDefault="00E41492" w:rsidP="00E41492">
      <w:pPr>
        <w:pStyle w:val="NoSpacing"/>
        <w:ind w:left="1080"/>
      </w:pPr>
    </w:p>
    <w:p w:rsidR="008420BC" w:rsidRPr="008420BC" w:rsidRDefault="00722972" w:rsidP="008420BC">
      <w:pPr>
        <w:pStyle w:val="NoSpacing"/>
        <w:numPr>
          <w:ilvl w:val="0"/>
          <w:numId w:val="6"/>
        </w:numPr>
        <w:rPr>
          <w:b/>
          <w:bCs/>
        </w:rPr>
      </w:pPr>
      <w:r w:rsidRPr="008420BC">
        <w:rPr>
          <w:b/>
          <w:bCs/>
          <w:u w:val="single"/>
        </w:rPr>
        <w:t xml:space="preserve">Training and </w:t>
      </w:r>
      <w:r w:rsidR="00E41492" w:rsidRPr="008420BC">
        <w:rPr>
          <w:b/>
          <w:bCs/>
          <w:u w:val="single"/>
        </w:rPr>
        <w:t xml:space="preserve">Capacity Building </w:t>
      </w:r>
      <w:r w:rsidRPr="008420BC">
        <w:rPr>
          <w:b/>
          <w:bCs/>
          <w:u w:val="single"/>
        </w:rPr>
        <w:t>Unit:</w:t>
      </w:r>
      <w:r w:rsidR="008420BC">
        <w:rPr>
          <w:b/>
          <w:bCs/>
        </w:rPr>
        <w:br/>
      </w:r>
    </w:p>
    <w:p w:rsidR="009E4C84" w:rsidRPr="008420BC" w:rsidRDefault="007F299A" w:rsidP="007F299A">
      <w:pPr>
        <w:pStyle w:val="NoSpacing"/>
        <w:numPr>
          <w:ilvl w:val="0"/>
          <w:numId w:val="7"/>
        </w:numPr>
      </w:pPr>
      <w:r w:rsidRPr="008420BC">
        <w:t xml:space="preserve">Enhancing service provide toward promoting gender and </w:t>
      </w:r>
      <w:r w:rsidR="008420BC" w:rsidRPr="008420BC">
        <w:t>e</w:t>
      </w:r>
      <w:r w:rsidRPr="008420BC">
        <w:t>limi</w:t>
      </w:r>
      <w:r w:rsidR="008420BC" w:rsidRPr="008420BC">
        <w:t>na</w:t>
      </w:r>
      <w:r w:rsidRPr="008420BC">
        <w:t>ting poverty</w:t>
      </w:r>
      <w:r w:rsidR="009E4C84" w:rsidRPr="008420BC">
        <w:t>.</w:t>
      </w:r>
    </w:p>
    <w:p w:rsidR="007F299A" w:rsidRPr="008420BC" w:rsidRDefault="009E4C84" w:rsidP="007F299A">
      <w:pPr>
        <w:pStyle w:val="NoSpacing"/>
        <w:numPr>
          <w:ilvl w:val="0"/>
          <w:numId w:val="7"/>
        </w:numPr>
      </w:pPr>
      <w:r w:rsidRPr="008420BC">
        <w:t>Developing programs targeting marginalized child and woman.</w:t>
      </w:r>
    </w:p>
    <w:p w:rsidR="009E4C84" w:rsidRPr="009E4C84" w:rsidRDefault="009E4C84" w:rsidP="009E4C84">
      <w:pPr>
        <w:pStyle w:val="NoSpacing"/>
        <w:ind w:left="1080"/>
      </w:pPr>
    </w:p>
    <w:p w:rsidR="00722972" w:rsidRPr="005D20AA" w:rsidRDefault="00722972" w:rsidP="005D20AA">
      <w:pPr>
        <w:pStyle w:val="NoSpacing"/>
        <w:numPr>
          <w:ilvl w:val="0"/>
          <w:numId w:val="6"/>
        </w:numPr>
        <w:rPr>
          <w:b/>
          <w:bCs/>
        </w:rPr>
      </w:pPr>
      <w:r w:rsidRPr="005D20AA">
        <w:rPr>
          <w:b/>
          <w:bCs/>
          <w:u w:val="single"/>
        </w:rPr>
        <w:t>Public Relations</w:t>
      </w:r>
      <w:r w:rsidR="005D20AA">
        <w:rPr>
          <w:b/>
          <w:bCs/>
          <w:u w:val="single"/>
        </w:rPr>
        <w:t xml:space="preserve"> and Programming</w:t>
      </w:r>
      <w:r w:rsidRPr="005D20AA">
        <w:rPr>
          <w:b/>
          <w:bCs/>
          <w:u w:val="single"/>
        </w:rPr>
        <w:t xml:space="preserve"> unit:</w:t>
      </w:r>
    </w:p>
    <w:p w:rsidR="005D20AA" w:rsidRDefault="005D20AA" w:rsidP="005D20AA">
      <w:pPr>
        <w:pStyle w:val="NoSpacing"/>
        <w:ind w:left="720"/>
      </w:pPr>
    </w:p>
    <w:p w:rsidR="005D20AA" w:rsidRDefault="005D20AA" w:rsidP="005D20AA">
      <w:pPr>
        <w:pStyle w:val="NoSpacing"/>
        <w:numPr>
          <w:ilvl w:val="0"/>
          <w:numId w:val="7"/>
        </w:numPr>
      </w:pPr>
      <w:r w:rsidRPr="005D20AA">
        <w:t>Coordinate external relation and external pa</w:t>
      </w:r>
      <w:r>
        <w:t>rtners.</w:t>
      </w:r>
    </w:p>
    <w:p w:rsidR="00FF67B0" w:rsidRDefault="00FF67B0" w:rsidP="00FF67B0">
      <w:pPr>
        <w:pStyle w:val="NoSpacing"/>
        <w:numPr>
          <w:ilvl w:val="0"/>
          <w:numId w:val="7"/>
        </w:numPr>
      </w:pPr>
      <w:r>
        <w:t>Setting</w:t>
      </w:r>
      <w:r w:rsidR="005D20AA">
        <w:t xml:space="preserve"> new project, detecting local needs proposing new</w:t>
      </w:r>
      <w:r>
        <w:t xml:space="preserve"> programming techniques.</w:t>
      </w:r>
    </w:p>
    <w:p w:rsidR="00FF67B0" w:rsidRDefault="00FF67B0" w:rsidP="00FF67B0">
      <w:pPr>
        <w:pStyle w:val="NoSpacing"/>
        <w:numPr>
          <w:ilvl w:val="0"/>
          <w:numId w:val="7"/>
        </w:numPr>
      </w:pPr>
      <w:r>
        <w:t>Launching new project</w:t>
      </w:r>
      <w:r w:rsidR="008420BC">
        <w:t>s</w:t>
      </w:r>
      <w:r>
        <w:t>.</w:t>
      </w:r>
    </w:p>
    <w:p w:rsidR="00FF67B0" w:rsidRDefault="00FF67B0" w:rsidP="00FF67B0">
      <w:pPr>
        <w:pStyle w:val="NoSpacing"/>
        <w:numPr>
          <w:ilvl w:val="0"/>
          <w:numId w:val="7"/>
        </w:numPr>
      </w:pPr>
      <w:r>
        <w:t>Monitoring and evaluation unit.</w:t>
      </w:r>
    </w:p>
    <w:p w:rsidR="004628B1" w:rsidRDefault="004628B1" w:rsidP="00531915"/>
    <w:p w:rsidR="00280219" w:rsidRDefault="00280219" w:rsidP="009C4179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531915" w:rsidRDefault="00531915" w:rsidP="009C4179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531915" w:rsidRDefault="00531915" w:rsidP="009C4179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8D1DC2" w:rsidRDefault="008D1DC2" w:rsidP="009C4179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531915" w:rsidRDefault="00531915" w:rsidP="009C4179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531915" w:rsidRDefault="00531915" w:rsidP="009C4179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280219" w:rsidRPr="00692DA1" w:rsidRDefault="00280219" w:rsidP="009C4179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A447D1" w:rsidRPr="0019345F" w:rsidRDefault="00A447D1" w:rsidP="009C4179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19345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Legal Position: </w:t>
      </w:r>
    </w:p>
    <w:p w:rsidR="00A447D1" w:rsidRPr="00692DA1" w:rsidRDefault="00A447D1" w:rsidP="009C417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447D1" w:rsidRDefault="00A447D1" w:rsidP="00722972">
      <w:pPr>
        <w:jc w:val="both"/>
        <w:rPr>
          <w:rFonts w:asciiTheme="majorBidi" w:hAnsiTheme="majorBidi" w:cstheme="majorBidi"/>
          <w:sz w:val="28"/>
          <w:szCs w:val="28"/>
        </w:rPr>
      </w:pPr>
      <w:r w:rsidRPr="00692DA1">
        <w:rPr>
          <w:rFonts w:asciiTheme="majorBidi" w:hAnsiTheme="majorBidi" w:cstheme="majorBidi"/>
          <w:sz w:val="28"/>
          <w:szCs w:val="28"/>
        </w:rPr>
        <w:t xml:space="preserve">In 2004, The Women Center became registered with the Palestinian Ministry of Interior </w:t>
      </w:r>
      <w:r w:rsidR="00722972">
        <w:rPr>
          <w:rFonts w:asciiTheme="majorBidi" w:hAnsiTheme="majorBidi" w:cstheme="majorBidi"/>
          <w:sz w:val="28"/>
          <w:szCs w:val="28"/>
        </w:rPr>
        <w:t xml:space="preserve">NO. </w:t>
      </w:r>
      <w:r w:rsidRPr="00692DA1">
        <w:rPr>
          <w:rFonts w:asciiTheme="majorBidi" w:hAnsiTheme="majorBidi" w:cstheme="majorBidi"/>
          <w:sz w:val="28"/>
          <w:szCs w:val="28"/>
        </w:rPr>
        <w:t xml:space="preserve">(QR-216-C) as an independent, non-governmental Palestinian organization. </w:t>
      </w:r>
    </w:p>
    <w:p w:rsidR="008D1DC2" w:rsidRPr="00692DA1" w:rsidRDefault="008D1DC2" w:rsidP="0072297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447D1" w:rsidRPr="00692DA1" w:rsidRDefault="00A447D1" w:rsidP="00A447D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E7488" w:rsidRPr="008D1DC2" w:rsidRDefault="00FE7488" w:rsidP="008D1DC2">
      <w:pPr>
        <w:pStyle w:val="NoSpacing"/>
        <w:jc w:val="center"/>
        <w:rPr>
          <w:b/>
          <w:bCs/>
          <w:sz w:val="32"/>
          <w:szCs w:val="32"/>
        </w:rPr>
      </w:pPr>
      <w:r w:rsidRPr="008D1DC2">
        <w:rPr>
          <w:b/>
          <w:bCs/>
          <w:sz w:val="32"/>
          <w:szCs w:val="32"/>
        </w:rPr>
        <w:t xml:space="preserve">List of </w:t>
      </w:r>
      <w:r w:rsidR="00AE136E" w:rsidRPr="008D1DC2">
        <w:rPr>
          <w:b/>
          <w:bCs/>
          <w:sz w:val="32"/>
          <w:szCs w:val="32"/>
        </w:rPr>
        <w:t>the</w:t>
      </w:r>
      <w:r w:rsidRPr="008D1DC2">
        <w:rPr>
          <w:b/>
          <w:bCs/>
          <w:sz w:val="32"/>
          <w:szCs w:val="32"/>
        </w:rPr>
        <w:t xml:space="preserve"> board</w:t>
      </w:r>
    </w:p>
    <w:p w:rsidR="00FE7488" w:rsidRPr="00692DA1" w:rsidRDefault="00FE7488" w:rsidP="00A447D1">
      <w:pPr>
        <w:pStyle w:val="NormalWeb"/>
        <w:spacing w:before="180" w:beforeAutospacing="0" w:after="180" w:afterAutospacing="0"/>
        <w:ind w:left="180" w:right="18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LightShading-Accent1"/>
        <w:tblW w:w="0" w:type="auto"/>
        <w:jc w:val="center"/>
        <w:tblLook w:val="01E0"/>
      </w:tblPr>
      <w:tblGrid>
        <w:gridCol w:w="2790"/>
        <w:gridCol w:w="4425"/>
      </w:tblGrid>
      <w:tr w:rsidR="00A447D1" w:rsidRPr="00692DA1" w:rsidTr="00692DA1">
        <w:trPr>
          <w:cnfStyle w:val="100000000000"/>
          <w:trHeight w:val="531"/>
          <w:jc w:val="center"/>
        </w:trPr>
        <w:tc>
          <w:tcPr>
            <w:cnfStyle w:val="001000000000"/>
            <w:tcW w:w="2790" w:type="dxa"/>
          </w:tcPr>
          <w:p w:rsidR="00A447D1" w:rsidRPr="00692DA1" w:rsidRDefault="00A447D1" w:rsidP="004019C4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Jihad Abu Zneid –</w:t>
            </w:r>
          </w:p>
        </w:tc>
        <w:tc>
          <w:tcPr>
            <w:cnfStyle w:val="000100000000"/>
            <w:tcW w:w="4425" w:type="dxa"/>
          </w:tcPr>
          <w:p w:rsidR="00A447D1" w:rsidRPr="00692DA1" w:rsidRDefault="00A447D1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Head of the Boar</w:t>
            </w:r>
            <w:r w:rsidR="004019C4"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d</w:t>
            </w:r>
          </w:p>
        </w:tc>
      </w:tr>
      <w:tr w:rsidR="00A447D1" w:rsidRPr="00692DA1" w:rsidTr="00692DA1">
        <w:trPr>
          <w:cnfStyle w:val="000000100000"/>
          <w:trHeight w:val="531"/>
          <w:jc w:val="center"/>
        </w:trPr>
        <w:tc>
          <w:tcPr>
            <w:cnfStyle w:val="001000000000"/>
            <w:tcW w:w="2790" w:type="dxa"/>
          </w:tcPr>
          <w:p w:rsidR="00A447D1" w:rsidRPr="00692DA1" w:rsidRDefault="00FE7488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I’timad Wahbeh</w:t>
            </w:r>
          </w:p>
        </w:tc>
        <w:tc>
          <w:tcPr>
            <w:cnfStyle w:val="000100000000"/>
            <w:tcW w:w="4425" w:type="dxa"/>
          </w:tcPr>
          <w:p w:rsidR="00A447D1" w:rsidRPr="00692DA1" w:rsidRDefault="00A447D1" w:rsidP="006D316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Deputy head of the Board</w:t>
            </w:r>
          </w:p>
        </w:tc>
      </w:tr>
      <w:tr w:rsidR="00A447D1" w:rsidRPr="00692DA1" w:rsidTr="00692DA1">
        <w:trPr>
          <w:jc w:val="center"/>
        </w:trPr>
        <w:tc>
          <w:tcPr>
            <w:cnfStyle w:val="001000000000"/>
            <w:tcW w:w="2790" w:type="dxa"/>
          </w:tcPr>
          <w:p w:rsidR="00A447D1" w:rsidRPr="00692DA1" w:rsidRDefault="00021103" w:rsidP="00021103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Rahaf </w:t>
            </w:r>
            <w:r w:rsidR="00FE74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Qawasmeh</w:t>
            </w:r>
          </w:p>
        </w:tc>
        <w:tc>
          <w:tcPr>
            <w:cnfStyle w:val="000100000000"/>
            <w:tcW w:w="4425" w:type="dxa"/>
          </w:tcPr>
          <w:p w:rsidR="00A447D1" w:rsidRPr="00692DA1" w:rsidRDefault="00021103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Treasurer</w:t>
            </w:r>
          </w:p>
        </w:tc>
      </w:tr>
      <w:tr w:rsidR="00A447D1" w:rsidRPr="00692DA1" w:rsidTr="00692DA1">
        <w:trPr>
          <w:cnfStyle w:val="000000100000"/>
          <w:jc w:val="center"/>
        </w:trPr>
        <w:tc>
          <w:tcPr>
            <w:cnfStyle w:val="001000000000"/>
            <w:tcW w:w="2790" w:type="dxa"/>
          </w:tcPr>
          <w:p w:rsidR="00A447D1" w:rsidRPr="00692DA1" w:rsidRDefault="00021103" w:rsidP="00021103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Naila Mimi</w:t>
            </w:r>
            <w:r w:rsidR="00A60041"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cnfStyle w:val="000100000000"/>
            <w:tcW w:w="4425" w:type="dxa"/>
          </w:tcPr>
          <w:p w:rsidR="00A447D1" w:rsidRPr="00692DA1" w:rsidRDefault="00021103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Secretary</w:t>
            </w:r>
          </w:p>
        </w:tc>
      </w:tr>
      <w:tr w:rsidR="00A447D1" w:rsidRPr="00692DA1" w:rsidTr="00692DA1">
        <w:trPr>
          <w:jc w:val="center"/>
        </w:trPr>
        <w:tc>
          <w:tcPr>
            <w:cnfStyle w:val="001000000000"/>
            <w:tcW w:w="2790" w:type="dxa"/>
          </w:tcPr>
          <w:p w:rsidR="00A447D1" w:rsidRPr="00692DA1" w:rsidRDefault="00FE7488" w:rsidP="00021103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Salam </w:t>
            </w:r>
            <w:r w:rsidR="0002110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Hijeh</w:t>
            </w:r>
          </w:p>
        </w:tc>
        <w:tc>
          <w:tcPr>
            <w:cnfStyle w:val="000100000000"/>
            <w:tcW w:w="4425" w:type="dxa"/>
          </w:tcPr>
          <w:p w:rsidR="00A447D1" w:rsidRPr="00692DA1" w:rsidRDefault="00021103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Member</w:t>
            </w:r>
          </w:p>
        </w:tc>
      </w:tr>
      <w:tr w:rsidR="00A447D1" w:rsidRPr="00692DA1" w:rsidTr="00692DA1">
        <w:trPr>
          <w:cnfStyle w:val="000000100000"/>
          <w:jc w:val="center"/>
        </w:trPr>
        <w:tc>
          <w:tcPr>
            <w:cnfStyle w:val="001000000000"/>
            <w:tcW w:w="2790" w:type="dxa"/>
          </w:tcPr>
          <w:p w:rsidR="00A447D1" w:rsidRPr="00692DA1" w:rsidRDefault="00021103" w:rsidP="00021103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Sabreen Ghurab</w:t>
            </w:r>
            <w:r w:rsidR="00FE74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cnfStyle w:val="000100000000"/>
            <w:tcW w:w="4425" w:type="dxa"/>
          </w:tcPr>
          <w:p w:rsidR="00A447D1" w:rsidRPr="00692DA1" w:rsidRDefault="00A447D1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Member</w:t>
            </w:r>
          </w:p>
        </w:tc>
      </w:tr>
      <w:tr w:rsidR="00A447D1" w:rsidRPr="00692DA1" w:rsidTr="00692DA1">
        <w:trPr>
          <w:jc w:val="center"/>
        </w:trPr>
        <w:tc>
          <w:tcPr>
            <w:cnfStyle w:val="001000000000"/>
            <w:tcW w:w="2790" w:type="dxa"/>
          </w:tcPr>
          <w:p w:rsidR="00A447D1" w:rsidRPr="00692DA1" w:rsidRDefault="00021103" w:rsidP="00021103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Sahar Mujahed</w:t>
            </w:r>
            <w:r w:rsidR="00FE74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cnfStyle w:val="000100000000"/>
            <w:tcW w:w="4425" w:type="dxa"/>
          </w:tcPr>
          <w:p w:rsidR="00A447D1" w:rsidRPr="00692DA1" w:rsidRDefault="00A447D1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Member </w:t>
            </w:r>
          </w:p>
        </w:tc>
      </w:tr>
      <w:tr w:rsidR="00A447D1" w:rsidRPr="00692DA1" w:rsidTr="00692DA1">
        <w:trPr>
          <w:cnfStyle w:val="000000100000"/>
          <w:jc w:val="center"/>
        </w:trPr>
        <w:tc>
          <w:tcPr>
            <w:cnfStyle w:val="001000000000"/>
            <w:tcW w:w="2790" w:type="dxa"/>
          </w:tcPr>
          <w:p w:rsidR="00A447D1" w:rsidRPr="00692DA1" w:rsidRDefault="00021103" w:rsidP="00021103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Hala</w:t>
            </w:r>
            <w:r w:rsidR="00FE74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Al Jamal</w:t>
            </w:r>
          </w:p>
        </w:tc>
        <w:tc>
          <w:tcPr>
            <w:cnfStyle w:val="000100000000"/>
            <w:tcW w:w="4425" w:type="dxa"/>
          </w:tcPr>
          <w:p w:rsidR="00A447D1" w:rsidRPr="00692DA1" w:rsidRDefault="00A447D1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Member </w:t>
            </w:r>
          </w:p>
        </w:tc>
      </w:tr>
      <w:tr w:rsidR="00FE7488" w:rsidRPr="00692DA1" w:rsidTr="00692DA1">
        <w:trPr>
          <w:jc w:val="center"/>
        </w:trPr>
        <w:tc>
          <w:tcPr>
            <w:cnfStyle w:val="001000000000"/>
            <w:tcW w:w="2790" w:type="dxa"/>
          </w:tcPr>
          <w:p w:rsidR="00FE7488" w:rsidRPr="00FE7488" w:rsidRDefault="00021103" w:rsidP="00021103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Raeda Muhasen</w:t>
            </w:r>
            <w:r w:rsidR="00FE7488" w:rsidRPr="00FE7488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cnfStyle w:val="000100000000"/>
            <w:tcW w:w="4425" w:type="dxa"/>
          </w:tcPr>
          <w:p w:rsidR="00FE7488" w:rsidRPr="00692DA1" w:rsidRDefault="00FE7488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92D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Member</w:t>
            </w:r>
          </w:p>
        </w:tc>
      </w:tr>
      <w:tr w:rsidR="00CD05BA" w:rsidRPr="00692DA1" w:rsidTr="00692DA1">
        <w:trPr>
          <w:cnfStyle w:val="000000100000"/>
          <w:jc w:val="center"/>
        </w:trPr>
        <w:tc>
          <w:tcPr>
            <w:cnfStyle w:val="001000000000"/>
            <w:tcW w:w="2790" w:type="dxa"/>
          </w:tcPr>
          <w:p w:rsidR="00CD05BA" w:rsidRPr="00CD05BA" w:rsidRDefault="00021103" w:rsidP="00021103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Nawraz Salaymeh</w:t>
            </w:r>
            <w:r w:rsidR="00CD05BA" w:rsidRPr="00CD05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cnfStyle w:val="000100000000"/>
            <w:tcW w:w="4425" w:type="dxa"/>
          </w:tcPr>
          <w:p w:rsidR="00CD05BA" w:rsidRPr="00CD05BA" w:rsidRDefault="00CD05BA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D05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Member</w:t>
            </w:r>
          </w:p>
        </w:tc>
      </w:tr>
      <w:tr w:rsidR="00CD05BA" w:rsidRPr="00692DA1" w:rsidTr="00692DA1">
        <w:trPr>
          <w:cnfStyle w:val="010000000000"/>
          <w:jc w:val="center"/>
        </w:trPr>
        <w:tc>
          <w:tcPr>
            <w:cnfStyle w:val="001000000000"/>
            <w:tcW w:w="2790" w:type="dxa"/>
          </w:tcPr>
          <w:p w:rsidR="00CD05BA" w:rsidRPr="00CD05BA" w:rsidRDefault="008B1532" w:rsidP="008B1532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Nadera Hijawi</w:t>
            </w:r>
            <w:r w:rsidR="00CD05BA" w:rsidRPr="00CD05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cnfStyle w:val="000100000000"/>
            <w:tcW w:w="4425" w:type="dxa"/>
          </w:tcPr>
          <w:p w:rsidR="00CD05BA" w:rsidRPr="00CD05BA" w:rsidRDefault="00CD05BA" w:rsidP="00061CDC">
            <w:pPr>
              <w:pStyle w:val="NormalWeb"/>
              <w:spacing w:before="180" w:beforeAutospacing="0" w:after="180" w:afterAutospacing="0"/>
              <w:ind w:right="187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CD05B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Member</w:t>
            </w:r>
          </w:p>
        </w:tc>
      </w:tr>
    </w:tbl>
    <w:p w:rsidR="00692DA1" w:rsidRPr="00FE7488" w:rsidRDefault="00692DA1" w:rsidP="009C4179">
      <w:pPr>
        <w:jc w:val="both"/>
        <w:rPr>
          <w:rFonts w:asciiTheme="majorBidi" w:hAnsiTheme="majorBidi" w:cstheme="majorBidi"/>
          <w:sz w:val="6"/>
          <w:szCs w:val="6"/>
        </w:rPr>
      </w:pPr>
    </w:p>
    <w:p w:rsidR="00692DA1" w:rsidRDefault="00692DA1" w:rsidP="00AE136E">
      <w:pPr>
        <w:rPr>
          <w:rFonts w:asciiTheme="majorBidi" w:hAnsiTheme="majorBidi" w:cstheme="majorBidi"/>
          <w:sz w:val="28"/>
          <w:szCs w:val="28"/>
        </w:rPr>
      </w:pPr>
    </w:p>
    <w:p w:rsidR="00312714" w:rsidRPr="00AE136E" w:rsidRDefault="00A96DE0" w:rsidP="00AE136E">
      <w:pPr>
        <w:rPr>
          <w:rFonts w:asciiTheme="majorBidi" w:hAnsiTheme="majorBidi" w:cstheme="majorBidi"/>
          <w:sz w:val="28"/>
          <w:szCs w:val="28"/>
        </w:rPr>
      </w:pPr>
      <w:r w:rsidRPr="00F14737">
        <w:rPr>
          <w:noProof/>
        </w:rPr>
        <w:pict>
          <v:rect id="_x0000_s1028" style="position:absolute;margin-left:-34.6pt;margin-top:15.75pt;width:505.65pt;height:64.45pt;z-index:25165926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8">
              <w:txbxContent>
                <w:p w:rsidR="000D615F" w:rsidRPr="00FE7488" w:rsidRDefault="000D615F" w:rsidP="00692DA1">
                  <w:pPr>
                    <w:pStyle w:val="Footer"/>
                    <w:ind w:right="36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7488">
                    <w:rPr>
                      <w:rStyle w:val="PageNumber"/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Women's Center of Shu’fat Refugee Camp (WCSHC), Shu'fat,  </w:t>
                  </w:r>
                  <w:r w:rsidRPr="00FE748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Jerusalem</w:t>
                  </w:r>
                </w:p>
                <w:p w:rsidR="000D615F" w:rsidRPr="00FE7488" w:rsidRDefault="000D615F" w:rsidP="00692D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FE748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it-IT"/>
                    </w:rPr>
                    <w:t xml:space="preserve">Tel. + 972 2 5810977, Fax. +972 2 5321891, website: </w:t>
                  </w:r>
                  <w:hyperlink r:id="rId8" w:history="1">
                    <w:r w:rsidRPr="00FE7488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val="it-IT"/>
                      </w:rPr>
                      <w:t>www.wcshc.org</w:t>
                    </w:r>
                  </w:hyperlink>
                </w:p>
                <w:p w:rsidR="000D615F" w:rsidRPr="00FE7488" w:rsidRDefault="000D615F" w:rsidP="00C07F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FE748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it-IT"/>
                    </w:rPr>
                    <w:t xml:space="preserve">E-mail: </w:t>
                  </w:r>
                  <w:hyperlink r:id="rId9" w:history="1">
                    <w:r w:rsidR="00C07F68" w:rsidRPr="008D440B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val="it-IT"/>
                      </w:rPr>
                      <w:t>Pr_wcshc@yahoo.com</w:t>
                    </w:r>
                  </w:hyperlink>
                  <w:r w:rsidR="00C07F68">
                    <w:t xml:space="preserve"> </w:t>
                  </w:r>
                </w:p>
                <w:p w:rsidR="000D615F" w:rsidRPr="00692DA1" w:rsidRDefault="000D615F" w:rsidP="00692D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</w:pPr>
                </w:p>
                <w:p w:rsidR="000D615F" w:rsidRDefault="000D615F"/>
              </w:txbxContent>
            </v:textbox>
          </v:rect>
        </w:pict>
      </w:r>
    </w:p>
    <w:sectPr w:rsidR="00312714" w:rsidRPr="00AE136E" w:rsidSect="0069133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1B" w:rsidRDefault="00634E1B" w:rsidP="00AE136E">
      <w:r>
        <w:separator/>
      </w:r>
    </w:p>
  </w:endnote>
  <w:endnote w:type="continuationSeparator" w:id="1">
    <w:p w:rsidR="00634E1B" w:rsidRDefault="00634E1B" w:rsidP="00AE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Rod Transparent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1B" w:rsidRDefault="00634E1B" w:rsidP="00AE136E">
      <w:r>
        <w:separator/>
      </w:r>
    </w:p>
  </w:footnote>
  <w:footnote w:type="continuationSeparator" w:id="1">
    <w:p w:rsidR="00634E1B" w:rsidRDefault="00634E1B" w:rsidP="00AE1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5F" w:rsidRPr="00692DA1" w:rsidRDefault="000D615F" w:rsidP="00AE136E">
    <w:pPr>
      <w:autoSpaceDE w:val="0"/>
      <w:autoSpaceDN w:val="0"/>
      <w:adjustRightInd w:val="0"/>
      <w:jc w:val="center"/>
      <w:rPr>
        <w:rFonts w:ascii="Arial" w:hAnsi="Arial" w:cs="Arial"/>
        <w:b/>
        <w:bCs/>
        <w:sz w:val="40"/>
        <w:szCs w:val="40"/>
      </w:rPr>
    </w:pPr>
    <w:r w:rsidRPr="00692DA1">
      <w:rPr>
        <w:rFonts w:ascii="Arial" w:hAnsi="Arial" w:cs="Arial"/>
        <w:b/>
        <w:bCs/>
        <w:sz w:val="40"/>
        <w:szCs w:val="40"/>
      </w:rPr>
      <w:t>Women Center – Shu’fat Camp</w:t>
    </w:r>
  </w:p>
  <w:p w:rsidR="000D615F" w:rsidRDefault="000D6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F10"/>
    <w:multiLevelType w:val="hybridMultilevel"/>
    <w:tmpl w:val="9FD2C036"/>
    <w:lvl w:ilvl="0" w:tplc="088C32A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5DC2"/>
    <w:multiLevelType w:val="hybridMultilevel"/>
    <w:tmpl w:val="EBF8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4B0"/>
    <w:multiLevelType w:val="hybridMultilevel"/>
    <w:tmpl w:val="D6FABDBC"/>
    <w:lvl w:ilvl="0" w:tplc="0450C6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0C1F31"/>
    <w:multiLevelType w:val="hybridMultilevel"/>
    <w:tmpl w:val="87EC05B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20196C"/>
    <w:multiLevelType w:val="hybridMultilevel"/>
    <w:tmpl w:val="D73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C2651"/>
    <w:multiLevelType w:val="hybridMultilevel"/>
    <w:tmpl w:val="A09E52E2"/>
    <w:lvl w:ilvl="0" w:tplc="F12CA7D2">
      <w:numFmt w:val="bullet"/>
      <w:lvlText w:val="–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C1FA6"/>
    <w:multiLevelType w:val="hybridMultilevel"/>
    <w:tmpl w:val="B9EE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12A1F"/>
    <w:multiLevelType w:val="hybridMultilevel"/>
    <w:tmpl w:val="BC14C53A"/>
    <w:lvl w:ilvl="0" w:tplc="F4B083DA">
      <w:numFmt w:val="bullet"/>
      <w:lvlText w:val="-"/>
      <w:lvlJc w:val="left"/>
      <w:pPr>
        <w:ind w:left="720" w:hanging="360"/>
      </w:pPr>
      <w:rPr>
        <w:rFonts w:ascii="Arial" w:eastAsia="Calibri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6880"/>
    <w:multiLevelType w:val="multilevel"/>
    <w:tmpl w:val="FBD0DDB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6431430"/>
    <w:multiLevelType w:val="hybridMultilevel"/>
    <w:tmpl w:val="736C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A4EEE"/>
    <w:multiLevelType w:val="hybridMultilevel"/>
    <w:tmpl w:val="84228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6FE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33DB6"/>
    <w:multiLevelType w:val="hybridMultilevel"/>
    <w:tmpl w:val="8CC835F8"/>
    <w:lvl w:ilvl="0" w:tplc="088C32A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439F5"/>
    <w:multiLevelType w:val="hybridMultilevel"/>
    <w:tmpl w:val="3FBC7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79"/>
    <w:rsid w:val="00013C09"/>
    <w:rsid w:val="00021103"/>
    <w:rsid w:val="00024178"/>
    <w:rsid w:val="00061CDC"/>
    <w:rsid w:val="000721BC"/>
    <w:rsid w:val="000B4C3F"/>
    <w:rsid w:val="000C54F5"/>
    <w:rsid w:val="000D615F"/>
    <w:rsid w:val="000E69CB"/>
    <w:rsid w:val="00102CD8"/>
    <w:rsid w:val="001143B0"/>
    <w:rsid w:val="00123DF6"/>
    <w:rsid w:val="00127A10"/>
    <w:rsid w:val="001526C1"/>
    <w:rsid w:val="00193378"/>
    <w:rsid w:val="0019345F"/>
    <w:rsid w:val="001A62B1"/>
    <w:rsid w:val="001E530F"/>
    <w:rsid w:val="00206E78"/>
    <w:rsid w:val="00280219"/>
    <w:rsid w:val="00291BB9"/>
    <w:rsid w:val="002944C7"/>
    <w:rsid w:val="002C1BF0"/>
    <w:rsid w:val="002D79A7"/>
    <w:rsid w:val="002F0ABA"/>
    <w:rsid w:val="00304D42"/>
    <w:rsid w:val="0030607A"/>
    <w:rsid w:val="003070DB"/>
    <w:rsid w:val="00312714"/>
    <w:rsid w:val="003A2020"/>
    <w:rsid w:val="003C3CCD"/>
    <w:rsid w:val="003D7C8B"/>
    <w:rsid w:val="003E7B80"/>
    <w:rsid w:val="003F45C1"/>
    <w:rsid w:val="004019C4"/>
    <w:rsid w:val="004103C2"/>
    <w:rsid w:val="00427B2A"/>
    <w:rsid w:val="004628B1"/>
    <w:rsid w:val="004921B0"/>
    <w:rsid w:val="004A7C71"/>
    <w:rsid w:val="00513E6D"/>
    <w:rsid w:val="00514206"/>
    <w:rsid w:val="00515B41"/>
    <w:rsid w:val="00531915"/>
    <w:rsid w:val="005378ED"/>
    <w:rsid w:val="00587577"/>
    <w:rsid w:val="005953E2"/>
    <w:rsid w:val="005C080F"/>
    <w:rsid w:val="005C1DD0"/>
    <w:rsid w:val="005D20AA"/>
    <w:rsid w:val="00602982"/>
    <w:rsid w:val="00634E1B"/>
    <w:rsid w:val="00682339"/>
    <w:rsid w:val="00685D94"/>
    <w:rsid w:val="00691332"/>
    <w:rsid w:val="00692DA1"/>
    <w:rsid w:val="006B04F8"/>
    <w:rsid w:val="006C6171"/>
    <w:rsid w:val="006D2117"/>
    <w:rsid w:val="006D316C"/>
    <w:rsid w:val="006D752C"/>
    <w:rsid w:val="00706D75"/>
    <w:rsid w:val="00713E62"/>
    <w:rsid w:val="00722972"/>
    <w:rsid w:val="00726594"/>
    <w:rsid w:val="00733E04"/>
    <w:rsid w:val="00751220"/>
    <w:rsid w:val="0076198F"/>
    <w:rsid w:val="00784167"/>
    <w:rsid w:val="007F299A"/>
    <w:rsid w:val="008103FE"/>
    <w:rsid w:val="008420BC"/>
    <w:rsid w:val="008737D2"/>
    <w:rsid w:val="008A395C"/>
    <w:rsid w:val="008B1532"/>
    <w:rsid w:val="008B60C7"/>
    <w:rsid w:val="008D1DC2"/>
    <w:rsid w:val="00903EDA"/>
    <w:rsid w:val="00904199"/>
    <w:rsid w:val="0092250D"/>
    <w:rsid w:val="00951756"/>
    <w:rsid w:val="00956AAA"/>
    <w:rsid w:val="009675E1"/>
    <w:rsid w:val="00987ABA"/>
    <w:rsid w:val="009C4179"/>
    <w:rsid w:val="009D5D3E"/>
    <w:rsid w:val="009E4C84"/>
    <w:rsid w:val="00A1322A"/>
    <w:rsid w:val="00A447D1"/>
    <w:rsid w:val="00A46C8C"/>
    <w:rsid w:val="00A60041"/>
    <w:rsid w:val="00A63D2E"/>
    <w:rsid w:val="00A94D9B"/>
    <w:rsid w:val="00A96DE0"/>
    <w:rsid w:val="00AB53D1"/>
    <w:rsid w:val="00AE136E"/>
    <w:rsid w:val="00AF0687"/>
    <w:rsid w:val="00B2371F"/>
    <w:rsid w:val="00B2495A"/>
    <w:rsid w:val="00B6475E"/>
    <w:rsid w:val="00BA433B"/>
    <w:rsid w:val="00BD4D62"/>
    <w:rsid w:val="00C07F68"/>
    <w:rsid w:val="00C359EA"/>
    <w:rsid w:val="00C85F28"/>
    <w:rsid w:val="00CD05BA"/>
    <w:rsid w:val="00CE28FA"/>
    <w:rsid w:val="00D03EA2"/>
    <w:rsid w:val="00D11DCF"/>
    <w:rsid w:val="00D25A9F"/>
    <w:rsid w:val="00D5287D"/>
    <w:rsid w:val="00D715B0"/>
    <w:rsid w:val="00D96474"/>
    <w:rsid w:val="00DE2DC4"/>
    <w:rsid w:val="00DF46F0"/>
    <w:rsid w:val="00E41492"/>
    <w:rsid w:val="00E50AC4"/>
    <w:rsid w:val="00EB5CDC"/>
    <w:rsid w:val="00EE3DFB"/>
    <w:rsid w:val="00F14737"/>
    <w:rsid w:val="00F5324F"/>
    <w:rsid w:val="00F57D25"/>
    <w:rsid w:val="00F62775"/>
    <w:rsid w:val="00F74CCD"/>
    <w:rsid w:val="00F8581C"/>
    <w:rsid w:val="00FB1969"/>
    <w:rsid w:val="00FD2B9E"/>
    <w:rsid w:val="00FE7488"/>
    <w:rsid w:val="00FF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47D1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019C4"/>
    <w:pPr>
      <w:ind w:left="720"/>
      <w:contextualSpacing/>
    </w:pPr>
  </w:style>
  <w:style w:type="character" w:styleId="Hyperlink">
    <w:name w:val="Hyperlink"/>
    <w:basedOn w:val="DefaultParagraphFont"/>
    <w:rsid w:val="004019C4"/>
    <w:rPr>
      <w:color w:val="0000FF"/>
      <w:u w:val="single"/>
    </w:rPr>
  </w:style>
  <w:style w:type="character" w:styleId="PageNumber">
    <w:name w:val="page number"/>
    <w:basedOn w:val="DefaultParagraphFont"/>
    <w:rsid w:val="004019C4"/>
  </w:style>
  <w:style w:type="paragraph" w:styleId="Footer">
    <w:name w:val="footer"/>
    <w:basedOn w:val="Normal"/>
    <w:link w:val="FooterChar"/>
    <w:rsid w:val="00401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19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B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692D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E1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6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E13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hc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_wcsh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</dc:creator>
  <cp:keywords/>
  <dc:description/>
  <cp:lastModifiedBy>CTS</cp:lastModifiedBy>
  <cp:revision>2</cp:revision>
  <cp:lastPrinted>2019-12-18T09:53:00Z</cp:lastPrinted>
  <dcterms:created xsi:type="dcterms:W3CDTF">2019-12-18T09:58:00Z</dcterms:created>
  <dcterms:modified xsi:type="dcterms:W3CDTF">2019-12-18T09:58:00Z</dcterms:modified>
</cp:coreProperties>
</file>